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70" w:type="dxa"/>
        <w:tblInd w:w="-252" w:type="dxa"/>
        <w:tblLook w:val="01E0"/>
      </w:tblPr>
      <w:tblGrid>
        <w:gridCol w:w="3650"/>
        <w:gridCol w:w="6020"/>
      </w:tblGrid>
      <w:tr w:rsidR="008379A0" w:rsidRPr="008379A0" w:rsidTr="00C84238">
        <w:trPr>
          <w:trHeight w:val="1161"/>
        </w:trPr>
        <w:tc>
          <w:tcPr>
            <w:tcW w:w="3650" w:type="dxa"/>
            <w:shd w:val="clear" w:color="auto" w:fill="auto"/>
          </w:tcPr>
          <w:p w:rsidR="00715A3D" w:rsidRPr="008379A0" w:rsidRDefault="00715A3D" w:rsidP="00715A3D">
            <w:pPr>
              <w:jc w:val="center"/>
              <w:rPr>
                <w:b/>
                <w:spacing w:val="2"/>
                <w:sz w:val="26"/>
              </w:rPr>
            </w:pPr>
            <w:r w:rsidRPr="008379A0">
              <w:rPr>
                <w:b/>
                <w:spacing w:val="2"/>
                <w:sz w:val="26"/>
              </w:rPr>
              <w:t>ỦY BAN NHÂN DÂN</w:t>
            </w:r>
          </w:p>
          <w:p w:rsidR="00715A3D" w:rsidRPr="008379A0" w:rsidRDefault="00715A3D" w:rsidP="00715A3D">
            <w:pPr>
              <w:jc w:val="center"/>
              <w:rPr>
                <w:b/>
                <w:spacing w:val="2"/>
              </w:rPr>
            </w:pPr>
            <w:r w:rsidRPr="008379A0">
              <w:rPr>
                <w:b/>
                <w:spacing w:val="2"/>
                <w:sz w:val="26"/>
              </w:rPr>
              <w:t>TỈNH HÀ TĨNH</w:t>
            </w:r>
          </w:p>
          <w:p w:rsidR="00715A3D" w:rsidRPr="008379A0" w:rsidRDefault="002146DD" w:rsidP="00715A3D">
            <w:pPr>
              <w:jc w:val="center"/>
              <w:rPr>
                <w:b/>
                <w:spacing w:val="2"/>
                <w:sz w:val="17"/>
                <w:szCs w:val="25"/>
              </w:rPr>
            </w:pPr>
            <w:r w:rsidRPr="002146DD">
              <w:rPr>
                <w:b/>
                <w:noProof/>
                <w:spacing w:val="2"/>
                <w:sz w:val="17"/>
                <w:szCs w:val="25"/>
                <w:lang w:val="vi-VN" w:eastAsia="vi-VN"/>
              </w:rPr>
              <w:pict>
                <v:line id="Line 5" o:spid="_x0000_s1026" style="position:absolute;left:0;text-align:left;z-index:251657728;visibility:visible" from="57.6pt,3.1pt" to="102.6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SPH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"/>
              </w:pict>
            </w:r>
          </w:p>
          <w:p w:rsidR="00715A3D" w:rsidRPr="008379A0" w:rsidRDefault="00715A3D" w:rsidP="00866484">
            <w:pPr>
              <w:jc w:val="center"/>
              <w:rPr>
                <w:b/>
                <w:spacing w:val="2"/>
                <w:sz w:val="34"/>
                <w:szCs w:val="24"/>
              </w:rPr>
            </w:pPr>
            <w:r w:rsidRPr="008379A0">
              <w:rPr>
                <w:spacing w:val="2"/>
                <w:sz w:val="26"/>
              </w:rPr>
              <w:t xml:space="preserve">Số: </w:t>
            </w:r>
            <w:r w:rsidR="00866484">
              <w:rPr>
                <w:spacing w:val="2"/>
                <w:sz w:val="26"/>
              </w:rPr>
              <w:t>2443</w:t>
            </w:r>
            <w:r w:rsidRPr="008379A0">
              <w:rPr>
                <w:spacing w:val="2"/>
                <w:sz w:val="26"/>
              </w:rPr>
              <w:t>/Q</w:t>
            </w:r>
            <w:r w:rsidRPr="008379A0">
              <w:rPr>
                <w:rFonts w:hint="eastAsia"/>
                <w:spacing w:val="2"/>
                <w:sz w:val="26"/>
              </w:rPr>
              <w:t>Đ</w:t>
            </w:r>
            <w:r w:rsidRPr="008379A0">
              <w:rPr>
                <w:spacing w:val="2"/>
                <w:sz w:val="26"/>
              </w:rPr>
              <w:t>-UBND</w:t>
            </w:r>
          </w:p>
        </w:tc>
        <w:tc>
          <w:tcPr>
            <w:tcW w:w="6020" w:type="dxa"/>
            <w:shd w:val="clear" w:color="auto" w:fill="auto"/>
          </w:tcPr>
          <w:p w:rsidR="00715A3D" w:rsidRPr="008379A0" w:rsidRDefault="00715A3D" w:rsidP="00715A3D">
            <w:pPr>
              <w:tabs>
                <w:tab w:val="left" w:pos="5544"/>
              </w:tabs>
              <w:jc w:val="center"/>
              <w:rPr>
                <w:b/>
                <w:spacing w:val="2"/>
                <w:sz w:val="26"/>
              </w:rPr>
            </w:pPr>
            <w:r w:rsidRPr="008379A0">
              <w:rPr>
                <w:b/>
                <w:spacing w:val="2"/>
                <w:sz w:val="26"/>
              </w:rPr>
              <w:t xml:space="preserve">CỘNG HÒA XÃ HỘI CHỦ NGHĨA VIỆT </w:t>
            </w:r>
            <w:smartTag w:uri="urn:schemas-microsoft-com:office:smarttags" w:element="place">
              <w:smartTag w:uri="urn:schemas-microsoft-com:office:smarttags" w:element="country-region">
                <w:r w:rsidRPr="008379A0">
                  <w:rPr>
                    <w:b/>
                    <w:spacing w:val="2"/>
                    <w:sz w:val="26"/>
                  </w:rPr>
                  <w:t>NAM</w:t>
                </w:r>
              </w:smartTag>
            </w:smartTag>
          </w:p>
          <w:p w:rsidR="00715A3D" w:rsidRPr="008379A0" w:rsidRDefault="00715A3D" w:rsidP="00715A3D">
            <w:pPr>
              <w:jc w:val="center"/>
              <w:rPr>
                <w:b/>
                <w:spacing w:val="2"/>
              </w:rPr>
            </w:pPr>
            <w:r w:rsidRPr="008379A0">
              <w:rPr>
                <w:rFonts w:hint="eastAsia"/>
                <w:b/>
                <w:spacing w:val="2"/>
              </w:rPr>
              <w:t>Đ</w:t>
            </w:r>
            <w:r w:rsidRPr="008379A0">
              <w:rPr>
                <w:b/>
                <w:spacing w:val="2"/>
              </w:rPr>
              <w:t>ộc lập - Tự do - Hạnh phúc</w:t>
            </w:r>
          </w:p>
          <w:p w:rsidR="00715A3D" w:rsidRPr="008379A0" w:rsidRDefault="002146DD" w:rsidP="00715A3D">
            <w:pPr>
              <w:jc w:val="center"/>
              <w:rPr>
                <w:b/>
                <w:spacing w:val="2"/>
                <w:sz w:val="18"/>
              </w:rPr>
            </w:pPr>
            <w:r w:rsidRPr="002146DD">
              <w:rPr>
                <w:b/>
                <w:noProof/>
                <w:spacing w:val="2"/>
                <w:sz w:val="18"/>
                <w:lang w:val="vi-VN" w:eastAsia="vi-VN"/>
              </w:rPr>
              <w:pict>
                <v:line id="Line 4" o:spid="_x0000_s1028" style="position:absolute;left:0;text-align:left;z-index:251653632;visibility:visible" from="68.8pt,1.35pt" to="226.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"/>
              </w:pict>
            </w:r>
          </w:p>
          <w:p w:rsidR="00715A3D" w:rsidRPr="008379A0" w:rsidRDefault="00715A3D" w:rsidP="00866484">
            <w:pPr>
              <w:jc w:val="both"/>
              <w:rPr>
                <w:i/>
                <w:spacing w:val="2"/>
              </w:rPr>
            </w:pPr>
            <w:r w:rsidRPr="008379A0">
              <w:rPr>
                <w:i/>
                <w:spacing w:val="2"/>
              </w:rPr>
              <w:t xml:space="preserve">              </w:t>
            </w:r>
            <w:r w:rsidR="00866484">
              <w:rPr>
                <w:i/>
                <w:spacing w:val="2"/>
              </w:rPr>
              <w:t xml:space="preserve">          </w:t>
            </w:r>
            <w:bookmarkStart w:id="0" w:name="_GoBack"/>
            <w:bookmarkEnd w:id="0"/>
            <w:r w:rsidRPr="008379A0">
              <w:rPr>
                <w:i/>
                <w:spacing w:val="2"/>
              </w:rPr>
              <w:t xml:space="preserve">   </w:t>
            </w:r>
            <w:r w:rsidRPr="008379A0">
              <w:rPr>
                <w:i/>
                <w:spacing w:val="2"/>
                <w:sz w:val="26"/>
              </w:rPr>
              <w:t xml:space="preserve">Hà Tĩnh, ngày </w:t>
            </w:r>
            <w:r w:rsidR="00866484">
              <w:rPr>
                <w:i/>
                <w:spacing w:val="2"/>
                <w:sz w:val="26"/>
              </w:rPr>
              <w:t>20</w:t>
            </w:r>
            <w:r w:rsidRPr="008379A0">
              <w:rPr>
                <w:i/>
                <w:spacing w:val="2"/>
                <w:sz w:val="26"/>
              </w:rPr>
              <w:t xml:space="preserve"> tháng 8 n</w:t>
            </w:r>
            <w:r w:rsidRPr="008379A0">
              <w:rPr>
                <w:rFonts w:hint="eastAsia"/>
                <w:i/>
                <w:spacing w:val="2"/>
                <w:sz w:val="26"/>
              </w:rPr>
              <w:t>ă</w:t>
            </w:r>
            <w:r w:rsidRPr="008379A0">
              <w:rPr>
                <w:i/>
                <w:spacing w:val="2"/>
                <w:sz w:val="26"/>
              </w:rPr>
              <w:t>m 2018</w:t>
            </w:r>
          </w:p>
        </w:tc>
      </w:tr>
    </w:tbl>
    <w:p w:rsidR="00715A3D" w:rsidRPr="008379A0" w:rsidRDefault="00715A3D" w:rsidP="00715A3D">
      <w:pPr>
        <w:jc w:val="center"/>
        <w:rPr>
          <w:b/>
          <w:spacing w:val="2"/>
          <w:sz w:val="39"/>
          <w:szCs w:val="27"/>
        </w:rPr>
      </w:pPr>
    </w:p>
    <w:p w:rsidR="008379A0" w:rsidRPr="008379A0" w:rsidRDefault="008379A0" w:rsidP="00715A3D">
      <w:pPr>
        <w:jc w:val="center"/>
        <w:rPr>
          <w:b/>
          <w:spacing w:val="2"/>
        </w:rPr>
      </w:pPr>
    </w:p>
    <w:p w:rsidR="00715A3D" w:rsidRPr="008379A0" w:rsidRDefault="00715A3D" w:rsidP="00715A3D">
      <w:pPr>
        <w:jc w:val="center"/>
        <w:rPr>
          <w:b/>
          <w:spacing w:val="2"/>
        </w:rPr>
      </w:pPr>
      <w:r w:rsidRPr="008379A0">
        <w:rPr>
          <w:b/>
          <w:spacing w:val="2"/>
        </w:rPr>
        <w:t xml:space="preserve">QUYẾT </w:t>
      </w:r>
      <w:r w:rsidRPr="008379A0">
        <w:rPr>
          <w:rFonts w:hint="eastAsia"/>
          <w:b/>
          <w:spacing w:val="2"/>
        </w:rPr>
        <w:t>Đ</w:t>
      </w:r>
      <w:r w:rsidRPr="008379A0">
        <w:rPr>
          <w:b/>
          <w:spacing w:val="2"/>
        </w:rPr>
        <w:t>ỊNH</w:t>
      </w:r>
    </w:p>
    <w:p w:rsidR="00715A3D" w:rsidRPr="008379A0" w:rsidRDefault="00715A3D" w:rsidP="00715A3D">
      <w:pPr>
        <w:shd w:val="clear" w:color="auto" w:fill="FFFFFF"/>
        <w:jc w:val="center"/>
        <w:rPr>
          <w:b/>
          <w:spacing w:val="2"/>
        </w:rPr>
      </w:pPr>
      <w:r w:rsidRPr="008379A0">
        <w:rPr>
          <w:b/>
          <w:spacing w:val="2"/>
        </w:rPr>
        <w:t xml:space="preserve">Ban hành quy định điều kiện, hạn mức và trình tự, thủ tục </w:t>
      </w:r>
    </w:p>
    <w:p w:rsidR="00715A3D" w:rsidRPr="008379A0" w:rsidRDefault="00715A3D" w:rsidP="00715A3D">
      <w:pPr>
        <w:shd w:val="clear" w:color="auto" w:fill="FFFFFF"/>
        <w:jc w:val="center"/>
        <w:rPr>
          <w:b/>
          <w:spacing w:val="2"/>
        </w:rPr>
      </w:pPr>
      <w:r w:rsidRPr="008379A0">
        <w:rPr>
          <w:b/>
          <w:spacing w:val="2"/>
        </w:rPr>
        <w:t xml:space="preserve">công nhận lại diện tích đất ở cho các thửa đất có vườn ao </w:t>
      </w:r>
    </w:p>
    <w:p w:rsidR="00715A3D" w:rsidRPr="008379A0" w:rsidRDefault="00715A3D" w:rsidP="00715A3D">
      <w:pPr>
        <w:shd w:val="clear" w:color="auto" w:fill="FFFFFF"/>
        <w:jc w:val="center"/>
        <w:rPr>
          <w:b/>
          <w:spacing w:val="2"/>
        </w:rPr>
      </w:pPr>
      <w:r w:rsidRPr="008379A0">
        <w:rPr>
          <w:b/>
          <w:spacing w:val="2"/>
        </w:rPr>
        <w:t xml:space="preserve">gắn liền với đất ở có nguồn gốc sử dụng trước ngày 18/12/1980 </w:t>
      </w:r>
    </w:p>
    <w:p w:rsidR="00715A3D" w:rsidRPr="008379A0" w:rsidRDefault="002146DD" w:rsidP="00715A3D">
      <w:pPr>
        <w:jc w:val="center"/>
        <w:rPr>
          <w:b/>
          <w:spacing w:val="2"/>
        </w:rPr>
      </w:pPr>
      <w:r w:rsidRPr="002146DD">
        <w:rPr>
          <w:b/>
          <w:noProof/>
          <w:spacing w:val="2"/>
          <w:lang w:val="vi-VN" w:eastAsia="vi-VN"/>
        </w:rPr>
        <w:pict>
          <v:line id="Line 6" o:spid="_x0000_s1027" style="position:absolute;left:0;text-align:left;z-index:251662848;visibility:visible" from="182.5pt,4.15pt" to="29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wed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"/>
        </w:pict>
      </w:r>
    </w:p>
    <w:p w:rsidR="008379A0" w:rsidRPr="008379A0" w:rsidRDefault="008379A0" w:rsidP="00715A3D">
      <w:pPr>
        <w:spacing w:before="60"/>
        <w:jc w:val="center"/>
        <w:rPr>
          <w:b/>
          <w:spacing w:val="2"/>
          <w:sz w:val="20"/>
        </w:rPr>
      </w:pPr>
    </w:p>
    <w:p w:rsidR="00715A3D" w:rsidRPr="008379A0" w:rsidRDefault="00715A3D" w:rsidP="00715A3D">
      <w:pPr>
        <w:spacing w:before="60"/>
        <w:jc w:val="center"/>
        <w:rPr>
          <w:b/>
          <w:spacing w:val="2"/>
        </w:rPr>
      </w:pPr>
      <w:r w:rsidRPr="008379A0">
        <w:rPr>
          <w:b/>
          <w:spacing w:val="2"/>
        </w:rPr>
        <w:t>ỦY BAN NHÂN DÂN TỈNH</w:t>
      </w:r>
    </w:p>
    <w:p w:rsidR="00715A3D" w:rsidRPr="008379A0" w:rsidRDefault="00715A3D" w:rsidP="008379A0">
      <w:pPr>
        <w:spacing w:before="120"/>
        <w:ind w:firstLine="720"/>
        <w:jc w:val="both"/>
        <w:rPr>
          <w:spacing w:val="2"/>
        </w:rPr>
      </w:pPr>
      <w:r w:rsidRPr="008379A0">
        <w:rPr>
          <w:spacing w:val="2"/>
        </w:rPr>
        <w:t>C</w:t>
      </w:r>
      <w:r w:rsidRPr="008379A0">
        <w:rPr>
          <w:rFonts w:hint="eastAsia"/>
          <w:spacing w:val="2"/>
        </w:rPr>
        <w:t>ă</w:t>
      </w:r>
      <w:r w:rsidRPr="008379A0">
        <w:rPr>
          <w:spacing w:val="2"/>
        </w:rPr>
        <w:t>n cứ Luật Tổ chức chính quyền địa phương ngày 19/6/2015;</w:t>
      </w:r>
    </w:p>
    <w:p w:rsidR="00715A3D" w:rsidRPr="008379A0" w:rsidRDefault="00715A3D" w:rsidP="008379A0">
      <w:pPr>
        <w:spacing w:before="120"/>
        <w:ind w:firstLine="720"/>
        <w:jc w:val="both"/>
        <w:rPr>
          <w:spacing w:val="2"/>
        </w:rPr>
      </w:pPr>
      <w:r w:rsidRPr="008379A0">
        <w:rPr>
          <w:spacing w:val="2"/>
        </w:rPr>
        <w:t>C</w:t>
      </w:r>
      <w:r w:rsidRPr="008379A0">
        <w:rPr>
          <w:rFonts w:hint="eastAsia"/>
          <w:spacing w:val="2"/>
        </w:rPr>
        <w:t>ă</w:t>
      </w:r>
      <w:r w:rsidRPr="008379A0">
        <w:rPr>
          <w:spacing w:val="2"/>
        </w:rPr>
        <w:t xml:space="preserve">n cứ Luật </w:t>
      </w:r>
      <w:r w:rsidRPr="008379A0">
        <w:rPr>
          <w:rFonts w:hint="eastAsia"/>
          <w:spacing w:val="2"/>
        </w:rPr>
        <w:t>Đ</w:t>
      </w:r>
      <w:r w:rsidRPr="008379A0">
        <w:rPr>
          <w:spacing w:val="2"/>
        </w:rPr>
        <w:t xml:space="preserve">ất </w:t>
      </w:r>
      <w:r w:rsidRPr="008379A0">
        <w:rPr>
          <w:rFonts w:hint="eastAsia"/>
          <w:spacing w:val="2"/>
        </w:rPr>
        <w:t>đ</w:t>
      </w:r>
      <w:r w:rsidRPr="008379A0">
        <w:rPr>
          <w:spacing w:val="2"/>
        </w:rPr>
        <w:t>ai ngày 29/11/2013;</w:t>
      </w:r>
    </w:p>
    <w:p w:rsidR="00715A3D" w:rsidRPr="008379A0" w:rsidRDefault="00715A3D" w:rsidP="008379A0">
      <w:pPr>
        <w:spacing w:before="120"/>
        <w:ind w:firstLine="720"/>
        <w:jc w:val="both"/>
        <w:rPr>
          <w:spacing w:val="2"/>
        </w:rPr>
      </w:pPr>
      <w:r w:rsidRPr="008379A0">
        <w:rPr>
          <w:spacing w:val="2"/>
        </w:rPr>
        <w:t xml:space="preserve">Căn cứ Nghị </w:t>
      </w:r>
      <w:r w:rsidRPr="008379A0">
        <w:rPr>
          <w:rFonts w:hint="eastAsia"/>
          <w:spacing w:val="2"/>
        </w:rPr>
        <w:t>đ</w:t>
      </w:r>
      <w:r w:rsidRPr="008379A0">
        <w:rPr>
          <w:spacing w:val="2"/>
        </w:rPr>
        <w:t>ịnh số 43/2014/NĐ-CP ngày 15/5/2014 của Chính phủ h</w:t>
      </w:r>
      <w:r w:rsidRPr="008379A0">
        <w:rPr>
          <w:rFonts w:hint="eastAsia"/>
          <w:spacing w:val="2"/>
        </w:rPr>
        <w:t>ư</w:t>
      </w:r>
      <w:r w:rsidRPr="008379A0">
        <w:rPr>
          <w:spacing w:val="2"/>
        </w:rPr>
        <w:t xml:space="preserve">ớng dẫn thi hành Luật </w:t>
      </w:r>
      <w:r w:rsidRPr="008379A0">
        <w:rPr>
          <w:rFonts w:hint="eastAsia"/>
          <w:spacing w:val="2"/>
        </w:rPr>
        <w:t>Đ</w:t>
      </w:r>
      <w:r w:rsidRPr="008379A0">
        <w:rPr>
          <w:spacing w:val="2"/>
        </w:rPr>
        <w:t xml:space="preserve">ất </w:t>
      </w:r>
      <w:r w:rsidRPr="008379A0">
        <w:rPr>
          <w:rFonts w:hint="eastAsia"/>
          <w:spacing w:val="2"/>
        </w:rPr>
        <w:t>đ</w:t>
      </w:r>
      <w:r w:rsidRPr="008379A0">
        <w:rPr>
          <w:spacing w:val="2"/>
        </w:rPr>
        <w:t>ai năm 2013; Nghị định số 01/2017/NĐ-CP ngày 06/01/2017 của Chính phủ sửa đổi, bổ sung một số nghị định quy định chi tiết thi hành Luật đất đai;</w:t>
      </w:r>
    </w:p>
    <w:p w:rsidR="00715A3D" w:rsidRPr="008379A0" w:rsidRDefault="00715A3D" w:rsidP="008379A0">
      <w:pPr>
        <w:spacing w:before="120"/>
        <w:ind w:firstLine="720"/>
        <w:jc w:val="both"/>
        <w:rPr>
          <w:spacing w:val="2"/>
        </w:rPr>
      </w:pPr>
      <w:r w:rsidRPr="008379A0">
        <w:rPr>
          <w:spacing w:val="2"/>
        </w:rPr>
        <w:t xml:space="preserve">Căn cứ Văn bản số 3581/VPCP-NN ngày 18/4/2018 của Văn phòng Chính phủ về việc công nhận đất ở cho hộ gia đình, cá nhân sử dụng đất ở trước ngày 18/12/1980 trên địa bàn tỉnh Hà Tĩnh; Văn bản số 1355/BTNMT-TCQLĐĐ ngày 22/3/2018 và số 3234/BTNMT-TCQLĐĐ ngày 20/6/2018 của Bộ Tài nguyên và Môi trường về việc công nhận đất ở cho các trường hợp sử dụng đất trước ngày 18/12/1980 trên địa bàn tỉnh Hà Tĩnh; </w:t>
      </w:r>
    </w:p>
    <w:p w:rsidR="00715A3D" w:rsidRPr="008379A0" w:rsidRDefault="00715A3D" w:rsidP="008379A0">
      <w:pPr>
        <w:spacing w:before="120"/>
        <w:ind w:firstLine="720"/>
        <w:jc w:val="both"/>
        <w:rPr>
          <w:spacing w:val="2"/>
        </w:rPr>
      </w:pPr>
      <w:r w:rsidRPr="008379A0">
        <w:rPr>
          <w:spacing w:val="2"/>
        </w:rPr>
        <w:t xml:space="preserve">Xét </w:t>
      </w:r>
      <w:r w:rsidRPr="008379A0">
        <w:rPr>
          <w:rFonts w:hint="eastAsia"/>
          <w:spacing w:val="2"/>
        </w:rPr>
        <w:t>đ</w:t>
      </w:r>
      <w:r w:rsidRPr="008379A0">
        <w:rPr>
          <w:spacing w:val="2"/>
        </w:rPr>
        <w:t>ề nghị của Giám đốc Sở Tài nguyên và Môi tr</w:t>
      </w:r>
      <w:r w:rsidRPr="008379A0">
        <w:rPr>
          <w:rFonts w:hint="eastAsia"/>
          <w:spacing w:val="2"/>
        </w:rPr>
        <w:t>ư</w:t>
      </w:r>
      <w:r w:rsidRPr="008379A0">
        <w:rPr>
          <w:spacing w:val="2"/>
        </w:rPr>
        <w:t xml:space="preserve">ờng </w:t>
      </w:r>
      <w:r w:rsidR="0031091F" w:rsidRPr="008379A0">
        <w:rPr>
          <w:spacing w:val="2"/>
        </w:rPr>
        <w:t>tại V</w:t>
      </w:r>
      <w:r w:rsidR="0031091F" w:rsidRPr="008379A0">
        <w:rPr>
          <w:rFonts w:hint="eastAsia"/>
          <w:spacing w:val="2"/>
        </w:rPr>
        <w:t>ă</w:t>
      </w:r>
      <w:r w:rsidR="0031091F" w:rsidRPr="008379A0">
        <w:rPr>
          <w:spacing w:val="2"/>
        </w:rPr>
        <w:t>n bản số 2149/STNMT-ĐKTK ngày 07/8/2018;</w:t>
      </w:r>
      <w:r w:rsidRPr="008379A0">
        <w:rPr>
          <w:spacing w:val="2"/>
        </w:rPr>
        <w:t xml:space="preserve"> ý kiến thống nhất của </w:t>
      </w:r>
      <w:r w:rsidR="002160D8" w:rsidRPr="008379A0">
        <w:rPr>
          <w:spacing w:val="2"/>
        </w:rPr>
        <w:t>Sở</w:t>
      </w:r>
      <w:r w:rsidRPr="008379A0">
        <w:rPr>
          <w:spacing w:val="2"/>
        </w:rPr>
        <w:t xml:space="preserve"> Tư pháp</w:t>
      </w:r>
      <w:r w:rsidR="002160D8" w:rsidRPr="008379A0">
        <w:rPr>
          <w:spacing w:val="2"/>
        </w:rPr>
        <w:t xml:space="preserve"> tại Văn bản số</w:t>
      </w:r>
      <w:r w:rsidR="00C305FC" w:rsidRPr="008379A0">
        <w:rPr>
          <w:spacing w:val="2"/>
        </w:rPr>
        <w:t xml:space="preserve"> 4</w:t>
      </w:r>
      <w:r w:rsidR="00547ED6" w:rsidRPr="008379A0">
        <w:rPr>
          <w:spacing w:val="2"/>
        </w:rPr>
        <w:t>3</w:t>
      </w:r>
      <w:r w:rsidR="00C305FC" w:rsidRPr="008379A0">
        <w:rPr>
          <w:spacing w:val="2"/>
        </w:rPr>
        <w:t xml:space="preserve">8/STP-XDVB ngày </w:t>
      </w:r>
      <w:r w:rsidR="00547ED6" w:rsidRPr="008379A0">
        <w:rPr>
          <w:spacing w:val="2"/>
        </w:rPr>
        <w:t>1</w:t>
      </w:r>
      <w:r w:rsidR="00C305FC" w:rsidRPr="008379A0">
        <w:rPr>
          <w:spacing w:val="2"/>
        </w:rPr>
        <w:t>6/</w:t>
      </w:r>
      <w:r w:rsidR="00547ED6" w:rsidRPr="008379A0">
        <w:rPr>
          <w:spacing w:val="2"/>
        </w:rPr>
        <w:t>7</w:t>
      </w:r>
      <w:r w:rsidR="00C305FC" w:rsidRPr="008379A0">
        <w:rPr>
          <w:spacing w:val="2"/>
        </w:rPr>
        <w:t>/2018 và số 484/STP-XDVB ngày 06/8/2018</w:t>
      </w:r>
      <w:r w:rsidR="008379A0" w:rsidRPr="008379A0">
        <w:rPr>
          <w:spacing w:val="2"/>
        </w:rPr>
        <w:t>; của</w:t>
      </w:r>
      <w:r w:rsidR="00AA3471" w:rsidRPr="008379A0">
        <w:rPr>
          <w:spacing w:val="2"/>
        </w:rPr>
        <w:t xml:space="preserve"> Sở</w:t>
      </w:r>
      <w:r w:rsidRPr="008379A0">
        <w:rPr>
          <w:spacing w:val="2"/>
        </w:rPr>
        <w:t xml:space="preserve"> Tài chính</w:t>
      </w:r>
      <w:r w:rsidR="00AA3471" w:rsidRPr="008379A0">
        <w:rPr>
          <w:spacing w:val="2"/>
        </w:rPr>
        <w:t xml:space="preserve"> tại Văn bản số</w:t>
      </w:r>
      <w:r w:rsidR="00065363" w:rsidRPr="008379A0">
        <w:rPr>
          <w:spacing w:val="2"/>
        </w:rPr>
        <w:t xml:space="preserve"> 2732/STC-GCS ngày 16/7/2018</w:t>
      </w:r>
      <w:r w:rsidR="008379A0" w:rsidRPr="008379A0">
        <w:rPr>
          <w:spacing w:val="2"/>
        </w:rPr>
        <w:t>; của</w:t>
      </w:r>
      <w:r w:rsidR="00096F0D" w:rsidRPr="008379A0">
        <w:rPr>
          <w:spacing w:val="2"/>
        </w:rPr>
        <w:t xml:space="preserve"> Sở Nội vụ tại Văn bản số 817/SNV-TCBC ngày 16/7/2018</w:t>
      </w:r>
      <w:r w:rsidR="008379A0" w:rsidRPr="008379A0">
        <w:rPr>
          <w:spacing w:val="2"/>
        </w:rPr>
        <w:t>;</w:t>
      </w:r>
      <w:r w:rsidR="00096F0D" w:rsidRPr="008379A0">
        <w:rPr>
          <w:spacing w:val="2"/>
        </w:rPr>
        <w:t xml:space="preserve"> </w:t>
      </w:r>
      <w:r w:rsidR="008379A0" w:rsidRPr="008379A0">
        <w:rPr>
          <w:spacing w:val="2"/>
        </w:rPr>
        <w:t>của</w:t>
      </w:r>
      <w:r w:rsidRPr="008379A0">
        <w:rPr>
          <w:spacing w:val="2"/>
        </w:rPr>
        <w:t xml:space="preserve"> Cục Thuế tỉnh</w:t>
      </w:r>
      <w:r w:rsidR="00AA3471" w:rsidRPr="008379A0">
        <w:rPr>
          <w:spacing w:val="2"/>
        </w:rPr>
        <w:t xml:space="preserve"> tại Văn bản số</w:t>
      </w:r>
      <w:r w:rsidR="000F4F81" w:rsidRPr="008379A0">
        <w:rPr>
          <w:spacing w:val="2"/>
        </w:rPr>
        <w:t xml:space="preserve"> 1315/CT-THNVDT ngày 16/7/2018</w:t>
      </w:r>
      <w:r w:rsidR="008379A0" w:rsidRPr="008379A0">
        <w:rPr>
          <w:spacing w:val="2"/>
        </w:rPr>
        <w:t>; của</w:t>
      </w:r>
      <w:r w:rsidR="00547ED6" w:rsidRPr="008379A0">
        <w:rPr>
          <w:spacing w:val="2"/>
        </w:rPr>
        <w:t xml:space="preserve"> </w:t>
      </w:r>
      <w:r w:rsidRPr="008379A0">
        <w:rPr>
          <w:spacing w:val="2"/>
        </w:rPr>
        <w:t>Thanh tra tỉnh</w:t>
      </w:r>
      <w:r w:rsidR="00547ED6" w:rsidRPr="008379A0">
        <w:rPr>
          <w:spacing w:val="2"/>
        </w:rPr>
        <w:t xml:space="preserve"> tại Văn bản số</w:t>
      </w:r>
      <w:r w:rsidR="000F4F81" w:rsidRPr="008379A0">
        <w:rPr>
          <w:spacing w:val="2"/>
        </w:rPr>
        <w:t xml:space="preserve"> 303/TT-NV2 ngày 16/7/2018</w:t>
      </w:r>
      <w:r w:rsidR="00EB1574" w:rsidRPr="008379A0">
        <w:rPr>
          <w:spacing w:val="2"/>
        </w:rPr>
        <w:t xml:space="preserve"> và </w:t>
      </w:r>
      <w:r w:rsidR="008379A0" w:rsidRPr="008379A0">
        <w:rPr>
          <w:spacing w:val="2"/>
        </w:rPr>
        <w:t xml:space="preserve">của </w:t>
      </w:r>
      <w:r w:rsidR="00EB1574" w:rsidRPr="008379A0">
        <w:rPr>
          <w:spacing w:val="2"/>
        </w:rPr>
        <w:t xml:space="preserve">Ban </w:t>
      </w:r>
      <w:r w:rsidR="008379A0" w:rsidRPr="008379A0">
        <w:rPr>
          <w:spacing w:val="2"/>
        </w:rPr>
        <w:t>Q</w:t>
      </w:r>
      <w:r w:rsidR="00EB1574" w:rsidRPr="008379A0">
        <w:rPr>
          <w:spacing w:val="2"/>
        </w:rPr>
        <w:t xml:space="preserve">uản lý </w:t>
      </w:r>
      <w:r w:rsidR="008379A0" w:rsidRPr="008379A0">
        <w:rPr>
          <w:spacing w:val="2"/>
        </w:rPr>
        <w:t>K</w:t>
      </w:r>
      <w:r w:rsidR="00EB1574" w:rsidRPr="008379A0">
        <w:rPr>
          <w:spacing w:val="2"/>
        </w:rPr>
        <w:t>hu kinh tế tỉnh tại Văn bản số 601/KKT-TNMT ngày 16/7/2018</w:t>
      </w:r>
      <w:r w:rsidRPr="008379A0">
        <w:rPr>
          <w:spacing w:val="2"/>
        </w:rPr>
        <w:t>,</w:t>
      </w:r>
    </w:p>
    <w:p w:rsidR="008379A0" w:rsidRPr="008379A0" w:rsidRDefault="008379A0" w:rsidP="008379A0">
      <w:pPr>
        <w:spacing w:before="120"/>
        <w:jc w:val="center"/>
        <w:rPr>
          <w:b/>
          <w:spacing w:val="2"/>
          <w:sz w:val="12"/>
        </w:rPr>
      </w:pPr>
    </w:p>
    <w:p w:rsidR="00715A3D" w:rsidRPr="008379A0" w:rsidRDefault="00715A3D" w:rsidP="008379A0">
      <w:pPr>
        <w:spacing w:before="120"/>
        <w:jc w:val="center"/>
        <w:rPr>
          <w:b/>
          <w:spacing w:val="2"/>
        </w:rPr>
      </w:pPr>
      <w:r w:rsidRPr="008379A0">
        <w:rPr>
          <w:b/>
          <w:spacing w:val="2"/>
        </w:rPr>
        <w:t xml:space="preserve">QUYẾT </w:t>
      </w:r>
      <w:r w:rsidRPr="008379A0">
        <w:rPr>
          <w:rFonts w:hint="eastAsia"/>
          <w:b/>
          <w:spacing w:val="2"/>
        </w:rPr>
        <w:t>Đ</w:t>
      </w:r>
      <w:r w:rsidRPr="008379A0">
        <w:rPr>
          <w:b/>
          <w:spacing w:val="2"/>
        </w:rPr>
        <w:t>ỊNH:</w:t>
      </w:r>
    </w:p>
    <w:p w:rsidR="00715A3D" w:rsidRPr="008379A0" w:rsidRDefault="00715A3D" w:rsidP="008379A0">
      <w:pPr>
        <w:shd w:val="clear" w:color="auto" w:fill="FFFFFF"/>
        <w:spacing w:before="120"/>
        <w:ind w:firstLine="720"/>
        <w:jc w:val="both"/>
        <w:rPr>
          <w:spacing w:val="2"/>
        </w:rPr>
      </w:pPr>
      <w:r w:rsidRPr="008379A0">
        <w:rPr>
          <w:b/>
          <w:spacing w:val="2"/>
        </w:rPr>
        <w:t>Điều 1</w:t>
      </w:r>
      <w:r w:rsidRPr="008379A0">
        <w:rPr>
          <w:spacing w:val="2"/>
        </w:rPr>
        <w:t>. Ban hành kèm theo Quyết định này quy định điều kiện, hạn mức và trình tự, thủ tục công nhận lại diện tích đất ở cho các thửa đất có vườn ao gắn liền với đất ở có nguồn gốc sử dụng ổn định trước ngày 18/12/1980, đã hoàn thành kê khai, đăng ký theo Chỉ thị 299/TTg ngày 10/11/1980 của Thủ tướng Chính phủ và đã được cấp giấy chứng nhận quyền sử dụng đất nhưng hiện nay không còn hồ sơ kê khai, đăng ký theo Chỉ thị 299/TTg trên địa bàn tỉnh Hà Tĩnh.</w:t>
      </w:r>
    </w:p>
    <w:p w:rsidR="00715A3D" w:rsidRPr="008379A0" w:rsidRDefault="00715A3D" w:rsidP="008379A0">
      <w:pPr>
        <w:spacing w:before="120"/>
        <w:ind w:firstLine="720"/>
        <w:jc w:val="both"/>
        <w:rPr>
          <w:spacing w:val="2"/>
        </w:rPr>
      </w:pPr>
      <w:r w:rsidRPr="008379A0">
        <w:rPr>
          <w:b/>
          <w:spacing w:val="2"/>
        </w:rPr>
        <w:lastRenderedPageBreak/>
        <w:t>Điều 2</w:t>
      </w:r>
      <w:r w:rsidRPr="008379A0">
        <w:rPr>
          <w:spacing w:val="2"/>
        </w:rPr>
        <w:t xml:space="preserve">. </w:t>
      </w:r>
      <w:r w:rsidR="008379A0" w:rsidRPr="008379A0">
        <w:rPr>
          <w:spacing w:val="2"/>
        </w:rPr>
        <w:t>Quyết định này có hiệu lực kể từ ngày ban hành</w:t>
      </w:r>
      <w:r w:rsidRPr="008379A0">
        <w:rPr>
          <w:spacing w:val="2"/>
        </w:rPr>
        <w:t xml:space="preserve"> đến ngày 31/12/2020.</w:t>
      </w:r>
    </w:p>
    <w:p w:rsidR="00715A3D" w:rsidRPr="008379A0" w:rsidRDefault="00715A3D" w:rsidP="008379A0">
      <w:pPr>
        <w:spacing w:before="120"/>
        <w:ind w:firstLine="720"/>
        <w:jc w:val="both"/>
        <w:rPr>
          <w:spacing w:val="2"/>
        </w:rPr>
      </w:pPr>
      <w:r w:rsidRPr="008379A0">
        <w:rPr>
          <w:spacing w:val="2"/>
        </w:rPr>
        <w:t>Chánh Văn phòng UBND tỉnh; Giám đốc các Sở: Tài nguyên và Môi trường, Tài chính, Tư pháp; Chánh Thanh tra tỉnh; Cục trưởng Cục Thuế tỉnh; Chủ tịch UBND các huyện, thành phố, thị xã; Chủ tịch UBND các xã, phường, thị trấn; Thủ trưởng các ngành, đơn vị và hộ gia đình, cá nhân có liên quan chịu trách nhiệm thi hành Quyết định này./.</w:t>
      </w:r>
    </w:p>
    <w:p w:rsidR="00715A3D" w:rsidRPr="008379A0" w:rsidRDefault="00715A3D" w:rsidP="008379A0">
      <w:pPr>
        <w:spacing w:before="120"/>
        <w:ind w:firstLine="720"/>
        <w:jc w:val="both"/>
        <w:rPr>
          <w:spacing w:val="2"/>
          <w:sz w:val="8"/>
        </w:rPr>
      </w:pPr>
    </w:p>
    <w:tbl>
      <w:tblPr>
        <w:tblW w:w="9390" w:type="dxa"/>
        <w:jc w:val="center"/>
        <w:tblLook w:val="01E0"/>
      </w:tblPr>
      <w:tblGrid>
        <w:gridCol w:w="4675"/>
        <w:gridCol w:w="4715"/>
      </w:tblGrid>
      <w:tr w:rsidR="007A10F2" w:rsidRPr="008379A0" w:rsidTr="00C84238">
        <w:trPr>
          <w:trHeight w:val="1797"/>
          <w:jc w:val="center"/>
        </w:trPr>
        <w:tc>
          <w:tcPr>
            <w:tcW w:w="4675" w:type="dxa"/>
            <w:shd w:val="clear" w:color="auto" w:fill="auto"/>
          </w:tcPr>
          <w:p w:rsidR="00715A3D" w:rsidRPr="008379A0" w:rsidRDefault="00715A3D" w:rsidP="00715A3D">
            <w:pPr>
              <w:pStyle w:val="Body1"/>
              <w:tabs>
                <w:tab w:val="left" w:pos="540"/>
              </w:tabs>
              <w:jc w:val="both"/>
              <w:rPr>
                <w:color w:val="auto"/>
                <w:spacing w:val="2"/>
              </w:rPr>
            </w:pPr>
            <w:r w:rsidRPr="008379A0">
              <w:rPr>
                <w:b/>
                <w:i/>
                <w:color w:val="auto"/>
                <w:spacing w:val="2"/>
                <w:sz w:val="24"/>
              </w:rPr>
              <w:t>Nơi nhận:</w:t>
            </w:r>
            <w:r w:rsidRPr="008379A0">
              <w:rPr>
                <w:i/>
                <w:color w:val="auto"/>
                <w:spacing w:val="2"/>
                <w:sz w:val="24"/>
              </w:rPr>
              <w:tab/>
            </w:r>
            <w:r w:rsidRPr="008379A0">
              <w:rPr>
                <w:color w:val="auto"/>
                <w:spacing w:val="2"/>
              </w:rPr>
              <w:tab/>
            </w:r>
            <w:r w:rsidRPr="008379A0">
              <w:rPr>
                <w:color w:val="auto"/>
                <w:spacing w:val="2"/>
              </w:rPr>
              <w:tab/>
            </w:r>
            <w:r w:rsidRPr="008379A0">
              <w:rPr>
                <w:color w:val="auto"/>
                <w:spacing w:val="2"/>
              </w:rPr>
              <w:tab/>
            </w:r>
          </w:p>
          <w:p w:rsidR="00715A3D" w:rsidRPr="008379A0" w:rsidRDefault="00715A3D" w:rsidP="00715A3D">
            <w:pPr>
              <w:pStyle w:val="Body1"/>
              <w:tabs>
                <w:tab w:val="left" w:pos="540"/>
              </w:tabs>
              <w:ind w:left="-390" w:firstLine="390"/>
              <w:jc w:val="both"/>
              <w:rPr>
                <w:color w:val="auto"/>
                <w:spacing w:val="2"/>
                <w:sz w:val="22"/>
              </w:rPr>
            </w:pPr>
            <w:r w:rsidRPr="008379A0">
              <w:rPr>
                <w:color w:val="auto"/>
                <w:spacing w:val="2"/>
                <w:sz w:val="22"/>
              </w:rPr>
              <w:t>- Như Điề</w:t>
            </w:r>
            <w:r w:rsidR="00E330CA" w:rsidRPr="008379A0">
              <w:rPr>
                <w:color w:val="auto"/>
                <w:spacing w:val="2"/>
                <w:sz w:val="22"/>
              </w:rPr>
              <w:t>u 2</w:t>
            </w:r>
            <w:r w:rsidRPr="008379A0">
              <w:rPr>
                <w:color w:val="auto"/>
                <w:spacing w:val="2"/>
                <w:sz w:val="22"/>
              </w:rPr>
              <w:t>;</w:t>
            </w:r>
          </w:p>
          <w:p w:rsidR="00715A3D" w:rsidRPr="008379A0" w:rsidRDefault="00715A3D" w:rsidP="00715A3D">
            <w:pPr>
              <w:pStyle w:val="Body1"/>
              <w:tabs>
                <w:tab w:val="left" w:pos="540"/>
              </w:tabs>
              <w:jc w:val="both"/>
              <w:rPr>
                <w:color w:val="auto"/>
                <w:spacing w:val="2"/>
              </w:rPr>
            </w:pPr>
            <w:r w:rsidRPr="008379A0">
              <w:rPr>
                <w:color w:val="auto"/>
                <w:spacing w:val="2"/>
                <w:sz w:val="22"/>
              </w:rPr>
              <w:t>- Các Bộ: Tài nguyên và Môi trường, Tư pháp;</w:t>
            </w:r>
            <w:r w:rsidRPr="008379A0">
              <w:rPr>
                <w:color w:val="auto"/>
                <w:spacing w:val="2"/>
              </w:rPr>
              <w:tab/>
            </w:r>
          </w:p>
          <w:p w:rsidR="00715A3D" w:rsidRPr="008379A0" w:rsidRDefault="00715A3D" w:rsidP="00715A3D">
            <w:pPr>
              <w:pStyle w:val="Body1"/>
              <w:tabs>
                <w:tab w:val="left" w:pos="540"/>
              </w:tabs>
              <w:jc w:val="both"/>
              <w:rPr>
                <w:color w:val="auto"/>
                <w:spacing w:val="2"/>
                <w:sz w:val="22"/>
              </w:rPr>
            </w:pPr>
            <w:r w:rsidRPr="008379A0">
              <w:rPr>
                <w:color w:val="auto"/>
                <w:spacing w:val="2"/>
                <w:sz w:val="22"/>
              </w:rPr>
              <w:t>- TTr Tỉnh ủy, TTr HĐND tỉnh;</w:t>
            </w:r>
          </w:p>
          <w:p w:rsidR="00715A3D" w:rsidRPr="008379A0" w:rsidRDefault="00715A3D" w:rsidP="00715A3D">
            <w:pPr>
              <w:pStyle w:val="Body1"/>
              <w:tabs>
                <w:tab w:val="left" w:pos="540"/>
              </w:tabs>
              <w:jc w:val="both"/>
              <w:rPr>
                <w:color w:val="auto"/>
                <w:spacing w:val="2"/>
                <w:sz w:val="22"/>
              </w:rPr>
            </w:pPr>
            <w:r w:rsidRPr="008379A0">
              <w:rPr>
                <w:color w:val="auto"/>
                <w:spacing w:val="2"/>
                <w:sz w:val="22"/>
              </w:rPr>
              <w:t>- Chủ tịch, các PCT UBND tỉnh;</w:t>
            </w:r>
          </w:p>
          <w:p w:rsidR="00715A3D" w:rsidRPr="008379A0" w:rsidRDefault="00715A3D" w:rsidP="00715A3D">
            <w:pPr>
              <w:pStyle w:val="Body1"/>
              <w:tabs>
                <w:tab w:val="left" w:pos="540"/>
              </w:tabs>
              <w:jc w:val="both"/>
              <w:rPr>
                <w:color w:val="auto"/>
                <w:spacing w:val="2"/>
                <w:sz w:val="22"/>
              </w:rPr>
            </w:pPr>
            <w:r w:rsidRPr="008379A0">
              <w:rPr>
                <w:color w:val="auto"/>
                <w:spacing w:val="2"/>
                <w:sz w:val="22"/>
              </w:rPr>
              <w:t>- UBMTTQ, các Đoàn thể cấp tỉnh;</w:t>
            </w:r>
          </w:p>
          <w:p w:rsidR="00715A3D" w:rsidRPr="008379A0" w:rsidRDefault="00715A3D" w:rsidP="00715A3D">
            <w:pPr>
              <w:pStyle w:val="Body1"/>
              <w:tabs>
                <w:tab w:val="left" w:pos="540"/>
              </w:tabs>
              <w:jc w:val="both"/>
              <w:rPr>
                <w:color w:val="auto"/>
                <w:spacing w:val="2"/>
                <w:sz w:val="22"/>
              </w:rPr>
            </w:pPr>
            <w:r w:rsidRPr="008379A0">
              <w:rPr>
                <w:color w:val="auto"/>
                <w:spacing w:val="2"/>
                <w:sz w:val="22"/>
              </w:rPr>
              <w:t>- Các Ban của HĐND tỉnh;</w:t>
            </w:r>
          </w:p>
          <w:p w:rsidR="00715A3D" w:rsidRPr="008379A0" w:rsidRDefault="00715A3D" w:rsidP="00715A3D">
            <w:pPr>
              <w:pStyle w:val="Body1"/>
              <w:tabs>
                <w:tab w:val="left" w:pos="540"/>
              </w:tabs>
              <w:jc w:val="both"/>
              <w:rPr>
                <w:color w:val="auto"/>
                <w:spacing w:val="2"/>
                <w:sz w:val="22"/>
              </w:rPr>
            </w:pPr>
            <w:r w:rsidRPr="008379A0">
              <w:rPr>
                <w:color w:val="auto"/>
                <w:spacing w:val="2"/>
                <w:sz w:val="22"/>
              </w:rPr>
              <w:t>- Chánh, Phó VPUBND tỉnh;</w:t>
            </w:r>
          </w:p>
          <w:p w:rsidR="00715A3D" w:rsidRPr="008379A0" w:rsidRDefault="00715A3D" w:rsidP="00715A3D">
            <w:pPr>
              <w:pStyle w:val="Body1"/>
              <w:tabs>
                <w:tab w:val="left" w:pos="540"/>
              </w:tabs>
              <w:jc w:val="both"/>
              <w:rPr>
                <w:color w:val="auto"/>
                <w:spacing w:val="2"/>
                <w:sz w:val="24"/>
                <w:szCs w:val="24"/>
              </w:rPr>
            </w:pPr>
            <w:r w:rsidRPr="008379A0">
              <w:rPr>
                <w:color w:val="auto"/>
                <w:spacing w:val="2"/>
                <w:sz w:val="22"/>
              </w:rPr>
              <w:t>- Lưu: VT, NL</w:t>
            </w:r>
            <w:r w:rsidRPr="008379A0">
              <w:rPr>
                <w:color w:val="auto"/>
                <w:spacing w:val="2"/>
                <w:sz w:val="22"/>
                <w:vertAlign w:val="subscript"/>
              </w:rPr>
              <w:t>2</w:t>
            </w:r>
            <w:r w:rsidRPr="008379A0">
              <w:rPr>
                <w:color w:val="auto"/>
                <w:spacing w:val="2"/>
                <w:sz w:val="22"/>
              </w:rPr>
              <w:t>.</w:t>
            </w:r>
            <w:r w:rsidRPr="008379A0">
              <w:rPr>
                <w:color w:val="auto"/>
                <w:spacing w:val="2"/>
              </w:rPr>
              <w:t xml:space="preserve"> </w:t>
            </w:r>
          </w:p>
        </w:tc>
        <w:tc>
          <w:tcPr>
            <w:tcW w:w="4715" w:type="dxa"/>
            <w:shd w:val="clear" w:color="auto" w:fill="auto"/>
          </w:tcPr>
          <w:p w:rsidR="00715A3D" w:rsidRPr="008379A0" w:rsidRDefault="00715A3D" w:rsidP="00715A3D">
            <w:pPr>
              <w:jc w:val="center"/>
              <w:rPr>
                <w:spacing w:val="2"/>
                <w:sz w:val="26"/>
              </w:rPr>
            </w:pPr>
            <w:r w:rsidRPr="008379A0">
              <w:rPr>
                <w:b/>
                <w:spacing w:val="2"/>
                <w:sz w:val="26"/>
              </w:rPr>
              <w:t>TM. ỦY BAN NHÂN DÂN</w:t>
            </w:r>
          </w:p>
          <w:p w:rsidR="00715A3D" w:rsidRPr="008379A0" w:rsidRDefault="00715A3D" w:rsidP="00715A3D">
            <w:pPr>
              <w:jc w:val="center"/>
              <w:rPr>
                <w:b/>
                <w:spacing w:val="2"/>
                <w:sz w:val="26"/>
              </w:rPr>
            </w:pPr>
            <w:r w:rsidRPr="008379A0">
              <w:rPr>
                <w:b/>
                <w:spacing w:val="2"/>
                <w:sz w:val="26"/>
              </w:rPr>
              <w:t>KT. CHỦ TỊCH</w:t>
            </w:r>
          </w:p>
          <w:p w:rsidR="00715A3D" w:rsidRPr="008379A0" w:rsidRDefault="00715A3D" w:rsidP="00715A3D">
            <w:pPr>
              <w:jc w:val="center"/>
              <w:rPr>
                <w:b/>
                <w:spacing w:val="2"/>
                <w:sz w:val="26"/>
              </w:rPr>
            </w:pPr>
            <w:r w:rsidRPr="008379A0">
              <w:rPr>
                <w:b/>
                <w:spacing w:val="2"/>
                <w:sz w:val="26"/>
              </w:rPr>
              <w:t>PHÓ CHỦ TỊCH</w:t>
            </w:r>
          </w:p>
          <w:p w:rsidR="00715A3D" w:rsidRPr="008379A0" w:rsidRDefault="00715A3D" w:rsidP="00715A3D">
            <w:pPr>
              <w:jc w:val="center"/>
              <w:rPr>
                <w:b/>
                <w:spacing w:val="2"/>
              </w:rPr>
            </w:pPr>
          </w:p>
          <w:p w:rsidR="00715A3D" w:rsidRPr="008379A0" w:rsidRDefault="00715A3D" w:rsidP="00715A3D">
            <w:pPr>
              <w:jc w:val="center"/>
              <w:rPr>
                <w:b/>
                <w:spacing w:val="2"/>
                <w:sz w:val="20"/>
              </w:rPr>
            </w:pPr>
          </w:p>
          <w:p w:rsidR="00715A3D" w:rsidRPr="008379A0" w:rsidRDefault="00715A3D" w:rsidP="00715A3D">
            <w:pPr>
              <w:jc w:val="center"/>
              <w:rPr>
                <w:b/>
                <w:spacing w:val="2"/>
                <w:sz w:val="48"/>
              </w:rPr>
            </w:pPr>
          </w:p>
          <w:p w:rsidR="00715A3D" w:rsidRPr="008379A0" w:rsidRDefault="00715A3D" w:rsidP="00715A3D">
            <w:pPr>
              <w:jc w:val="center"/>
              <w:rPr>
                <w:b/>
                <w:spacing w:val="2"/>
                <w:sz w:val="4"/>
              </w:rPr>
            </w:pPr>
          </w:p>
          <w:p w:rsidR="00715A3D" w:rsidRPr="008379A0" w:rsidRDefault="00715A3D" w:rsidP="00715A3D">
            <w:pPr>
              <w:jc w:val="center"/>
              <w:rPr>
                <w:b/>
                <w:spacing w:val="2"/>
                <w:sz w:val="4"/>
              </w:rPr>
            </w:pPr>
          </w:p>
          <w:p w:rsidR="00715A3D" w:rsidRPr="008379A0" w:rsidRDefault="00715A3D" w:rsidP="00715A3D">
            <w:pPr>
              <w:jc w:val="center"/>
              <w:rPr>
                <w:b/>
                <w:spacing w:val="2"/>
                <w:sz w:val="18"/>
              </w:rPr>
            </w:pPr>
          </w:p>
          <w:p w:rsidR="00715A3D" w:rsidRPr="008379A0" w:rsidRDefault="00715A3D" w:rsidP="00715A3D">
            <w:pPr>
              <w:jc w:val="center"/>
              <w:rPr>
                <w:b/>
                <w:spacing w:val="2"/>
                <w:sz w:val="4"/>
              </w:rPr>
            </w:pPr>
          </w:p>
          <w:p w:rsidR="00715A3D" w:rsidRPr="008379A0" w:rsidRDefault="00715A3D" w:rsidP="00715A3D">
            <w:pPr>
              <w:jc w:val="center"/>
              <w:rPr>
                <w:b/>
                <w:spacing w:val="2"/>
              </w:rPr>
            </w:pPr>
          </w:p>
          <w:p w:rsidR="00715A3D" w:rsidRPr="008379A0" w:rsidRDefault="00715A3D" w:rsidP="00715A3D">
            <w:pPr>
              <w:jc w:val="center"/>
              <w:rPr>
                <w:b/>
                <w:spacing w:val="2"/>
              </w:rPr>
            </w:pPr>
            <w:r w:rsidRPr="008379A0">
              <w:rPr>
                <w:b/>
                <w:spacing w:val="2"/>
              </w:rPr>
              <w:t xml:space="preserve">  Đặng Ngọc Sơn</w:t>
            </w:r>
          </w:p>
        </w:tc>
      </w:tr>
    </w:tbl>
    <w:p w:rsidR="00715A3D" w:rsidRPr="008379A0" w:rsidRDefault="00715A3D" w:rsidP="00096F0D">
      <w:pPr>
        <w:rPr>
          <w:spacing w:val="2"/>
        </w:rPr>
      </w:pPr>
    </w:p>
    <w:sectPr w:rsidR="00715A3D" w:rsidRPr="008379A0" w:rsidSect="008379A0">
      <w:pgSz w:w="11906" w:h="16838"/>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15A3D"/>
    <w:rsid w:val="00065363"/>
    <w:rsid w:val="00096F0D"/>
    <w:rsid w:val="000F4F81"/>
    <w:rsid w:val="002146DD"/>
    <w:rsid w:val="002160D8"/>
    <w:rsid w:val="0031091F"/>
    <w:rsid w:val="00547ED6"/>
    <w:rsid w:val="00715A3D"/>
    <w:rsid w:val="0076350C"/>
    <w:rsid w:val="007A10F2"/>
    <w:rsid w:val="007C5D1A"/>
    <w:rsid w:val="008379A0"/>
    <w:rsid w:val="00866484"/>
    <w:rsid w:val="00905641"/>
    <w:rsid w:val="00950509"/>
    <w:rsid w:val="00AA3471"/>
    <w:rsid w:val="00AF42C9"/>
    <w:rsid w:val="00C305FC"/>
    <w:rsid w:val="00E330CA"/>
    <w:rsid w:val="00EB15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A3D"/>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715A3D"/>
    <w:pPr>
      <w:spacing w:after="0" w:line="240" w:lineRule="auto"/>
      <w:outlineLvl w:val="0"/>
    </w:pPr>
    <w:rPr>
      <w:rFonts w:ascii="Times New Roman" w:eastAsia="Arial Unicode MS" w:hAnsi="Times New Roman" w:cs="Times New Roman"/>
      <w:color w:val="000000"/>
      <w:sz w:val="28"/>
      <w:szCs w:val="20"/>
      <w:u w:color="000000"/>
      <w:lang w:val="en-US"/>
    </w:rPr>
  </w:style>
  <w:style w:type="paragraph" w:styleId="BalloonText">
    <w:name w:val="Balloon Text"/>
    <w:basedOn w:val="Normal"/>
    <w:link w:val="BalloonTextChar"/>
    <w:uiPriority w:val="99"/>
    <w:semiHidden/>
    <w:unhideWhenUsed/>
    <w:rsid w:val="00E330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0CA"/>
    <w:rPr>
      <w:rFonts w:ascii="Segoe UI" w:eastAsia="Times New Roman"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Mr.Ngoc</dc:creator>
  <cp:lastModifiedBy>Admin</cp:lastModifiedBy>
  <cp:revision>2</cp:revision>
  <cp:lastPrinted>2018-08-09T09:16:00Z</cp:lastPrinted>
  <dcterms:created xsi:type="dcterms:W3CDTF">2018-08-21T03:46:00Z</dcterms:created>
  <dcterms:modified xsi:type="dcterms:W3CDTF">2018-08-21T03:46:00Z</dcterms:modified>
</cp:coreProperties>
</file>