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5D" w:rsidRPr="00F40A29" w:rsidRDefault="001E055D" w:rsidP="001E055D">
      <w:pPr>
        <w:pStyle w:val="NormalWeb"/>
        <w:spacing w:before="0" w:beforeAutospacing="0" w:after="0" w:afterAutospacing="0"/>
        <w:ind w:firstLine="720"/>
        <w:jc w:val="both"/>
        <w:rPr>
          <w:b/>
          <w:sz w:val="28"/>
          <w:szCs w:val="28"/>
        </w:rPr>
      </w:pPr>
      <w:r w:rsidRPr="00F40A29">
        <w:rPr>
          <w:b/>
          <w:sz w:val="28"/>
          <w:szCs w:val="28"/>
        </w:rPr>
        <w:t>3. Thu hồi đất do do chấm dứt việc sử dụng đất theo pháp luật, tự nguyện trả lại đất (gồm: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1E055D" w:rsidRPr="00F40A29" w:rsidRDefault="001E055D" w:rsidP="001E055D">
      <w:pPr>
        <w:pStyle w:val="NormalWeb"/>
        <w:spacing w:before="0" w:beforeAutospacing="0" w:after="0" w:afterAutospacing="0"/>
        <w:ind w:firstLine="720"/>
        <w:jc w:val="both"/>
        <w:rPr>
          <w:b/>
          <w:sz w:val="28"/>
          <w:szCs w:val="28"/>
        </w:rPr>
      </w:pP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 1. Trình tự thực hiện:</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Bước 1: Tổ chức, cá nhân nộp hồ sơ giải quyết thủ tục hành chính tại Trung tâm hành chính công tỉnh Hà Tĩnh (Số 02A - Đường Nguyễn Chí Thanh - Thành phố Hà Tĩnh - Tỉnh Hà Tĩnh). </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Cán bộ tiếp nhận kiểm tra hồ sơ:</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 Nếu hồ sơ chưa đầy đủ hoặc không hợp lệ: Cán bộ tiếp nhận hướng dẫn bổ sung, hoàn thiện hồ sơ </w:t>
      </w:r>
      <w:proofErr w:type="gramStart"/>
      <w:r w:rsidRPr="00F40A29">
        <w:rPr>
          <w:sz w:val="28"/>
          <w:szCs w:val="28"/>
        </w:rPr>
        <w:t>theo</w:t>
      </w:r>
      <w:proofErr w:type="gramEnd"/>
      <w:r w:rsidRPr="00F40A29">
        <w:rPr>
          <w:sz w:val="28"/>
          <w:szCs w:val="28"/>
        </w:rPr>
        <w:t xml:space="preserve"> quy định. </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Nếu hồ sơ đầy đủ, hợp lệ: Làm thủ tục tiếp nhận hồ sơ, hẹn trả kết quả cho tổ chức, cá nhân.</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Bước 2: Cán bộ chuyên môn có trách nhiệm chuyển hồ sơ đến Phòng chuyên môn thuộc của Sở Tài nguyên và Môi trường để giải quyết </w:t>
      </w:r>
      <w:proofErr w:type="gramStart"/>
      <w:r w:rsidRPr="00F40A29">
        <w:rPr>
          <w:sz w:val="28"/>
          <w:szCs w:val="28"/>
        </w:rPr>
        <w:t>theo</w:t>
      </w:r>
      <w:proofErr w:type="gramEnd"/>
      <w:r w:rsidRPr="00F40A29">
        <w:rPr>
          <w:sz w:val="28"/>
          <w:szCs w:val="28"/>
        </w:rPr>
        <w:t xml:space="preserve"> quy định.</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Bước 3: </w:t>
      </w:r>
      <w:r w:rsidRPr="00F40A29">
        <w:rPr>
          <w:sz w:val="28"/>
          <w:szCs w:val="28"/>
          <w:lang w:val="vi-VN"/>
        </w:rPr>
        <w:t xml:space="preserve">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2. Cách thức thực hiện: </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Nộp hồ sơ trực tiếp tại Trung tâm Hành chính công tỉnh Hà Tĩnh.</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Thời gian tiếp nhận hồ sơ: Giờ hành chính tất cả các ngày làm việc trong tuần.</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3. Thành phần, số lượng hồ sơ:</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a) Thành phần hồ sơ, bao gồm: </w:t>
      </w:r>
    </w:p>
    <w:p w:rsidR="001E055D" w:rsidRPr="00F40A29" w:rsidRDefault="001E055D" w:rsidP="001E055D">
      <w:pPr>
        <w:pStyle w:val="NormalWeb"/>
        <w:shd w:val="clear" w:color="auto" w:fill="FFFFFF"/>
        <w:spacing w:before="0" w:beforeAutospacing="0" w:after="0" w:afterAutospacing="0" w:line="288" w:lineRule="auto"/>
        <w:ind w:firstLine="720"/>
        <w:jc w:val="both"/>
        <w:textAlignment w:val="baseline"/>
        <w:rPr>
          <w:sz w:val="28"/>
          <w:szCs w:val="28"/>
        </w:rPr>
      </w:pPr>
      <w:r w:rsidRPr="00F40A29">
        <w:rPr>
          <w:sz w:val="28"/>
          <w:szCs w:val="28"/>
        </w:rPr>
        <w:t>- Văn bản trả lại đất hoặc Văn bản thông báo đối với trường hợp thu hồi</w:t>
      </w:r>
      <w:r w:rsidRPr="00F40A29">
        <w:rPr>
          <w:sz w:val="28"/>
          <w:szCs w:val="28"/>
        </w:rPr>
        <w:br/>
        <w:t>đất của tổ chức được Nhà nước giao đất không thu tiền sử dụng đất, được Nhà</w:t>
      </w:r>
      <w:r w:rsidRPr="00F40A29">
        <w:rPr>
          <w:sz w:val="28"/>
          <w:szCs w:val="28"/>
        </w:rPr>
        <w:br/>
        <w:t>nước giao đất có thu tiền sử dụng đất mà tiền sử dụng đất đã nộp có nguồn gốc</w:t>
      </w:r>
      <w:r w:rsidRPr="00F40A29">
        <w:rPr>
          <w:sz w:val="28"/>
          <w:szCs w:val="28"/>
        </w:rPr>
        <w:br/>
        <w:t>từ ngân sách nhà nước hoặc cho thuê đất trả tiền thuê đất hàng năm nay chuyển</w:t>
      </w:r>
      <w:r w:rsidRPr="00F40A29">
        <w:rPr>
          <w:sz w:val="28"/>
          <w:szCs w:val="28"/>
        </w:rPr>
        <w:br/>
        <w:t>đi nơi khác, giảm hoặc không còn nhu cầu sử dụng đất; Văn bản trả lại đất hoặc văn bản của Ủy ban nhân dân cấp xã nơi có đất xác nhận về việc trả lại đất của người sử dụng đất đối với trường hợp người sử dụng đất tự nguyện trả lại đất;</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Quyết định giải thể, phá sản đối với trường hợp thu hồi đất của tổ chức</w:t>
      </w:r>
      <w:r w:rsidRPr="00F40A29">
        <w:rPr>
          <w:sz w:val="28"/>
          <w:szCs w:val="28"/>
        </w:rPr>
        <w:br/>
        <w:t>được Nhà nước giao đất không thu tiền sử dụng đất, được Nhà nước giao đất có</w:t>
      </w:r>
      <w:r w:rsidRPr="00F40A29">
        <w:rPr>
          <w:sz w:val="28"/>
          <w:szCs w:val="28"/>
        </w:rPr>
        <w:br/>
      </w:r>
      <w:r w:rsidRPr="00F40A29">
        <w:rPr>
          <w:sz w:val="28"/>
          <w:szCs w:val="28"/>
        </w:rPr>
        <w:lastRenderedPageBreak/>
        <w:t>thu tiền sử dụng đất mà tiền sử dụng đất đã nộp có nguồn gốc từ ngân sách nhà</w:t>
      </w:r>
      <w:r w:rsidRPr="00F40A29">
        <w:rPr>
          <w:sz w:val="28"/>
          <w:szCs w:val="28"/>
        </w:rPr>
        <w:br/>
        <w:t>nước hoặc cho thuê đất trả tiền thuê đất hàng năm bị giải thể, phá sản;</w:t>
      </w:r>
      <w:r w:rsidRPr="00F40A29">
        <w:rPr>
          <w:sz w:val="28"/>
          <w:szCs w:val="28"/>
        </w:rPr>
        <w:br/>
        <w:t xml:space="preserve">         - Giấy chứng nhận quyền sử dụng đất hoặc Giấy chứng nhận quyền sở</w:t>
      </w:r>
      <w:r w:rsidRPr="00F40A29">
        <w:rPr>
          <w:sz w:val="28"/>
          <w:szCs w:val="28"/>
        </w:rPr>
        <w:br/>
        <w:t>hữu nhà ở và quyền sử dụng đất ở hoặc Giấy chứng nhận quyền sử dụng đất,</w:t>
      </w:r>
      <w:r w:rsidRPr="00F40A29">
        <w:rPr>
          <w:sz w:val="28"/>
          <w:szCs w:val="28"/>
        </w:rPr>
        <w:br/>
        <w:t>quyền sở hữu nhà ở và tài sản khác gắn liền với đất hoặc giấy tờ về quyền sử</w:t>
      </w:r>
      <w:r w:rsidRPr="00F40A29">
        <w:rPr>
          <w:sz w:val="28"/>
          <w:szCs w:val="28"/>
        </w:rPr>
        <w:br/>
        <w:t>dụng đất quy định tại Điều 100 của Luật Đất đai và Điều 18 của Nghị định số</w:t>
      </w:r>
      <w:r w:rsidRPr="00F40A29">
        <w:rPr>
          <w:sz w:val="28"/>
          <w:szCs w:val="28"/>
        </w:rPr>
        <w:br/>
        <w:t>43/2014/NĐ-CP (nếu có);</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b) Số lượng hồ sơ: 01 (bộ).</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4. Thời hạn giải quyết: Không quá 15 ngày làm việc kể từ ngày nhận đủ hồ </w:t>
      </w:r>
      <w:proofErr w:type="gramStart"/>
      <w:r w:rsidRPr="00F40A29">
        <w:rPr>
          <w:sz w:val="28"/>
          <w:szCs w:val="28"/>
        </w:rPr>
        <w:t>sơ</w:t>
      </w:r>
      <w:proofErr w:type="gramEnd"/>
      <w:r w:rsidRPr="00F40A29">
        <w:rPr>
          <w:sz w:val="28"/>
          <w:szCs w:val="28"/>
        </w:rPr>
        <w:t xml:space="preserve"> hợp lệ, trong đó:</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Sở Tài nguyên và Môi trường: 10 ngày</w:t>
      </w:r>
    </w:p>
    <w:p w:rsidR="001E055D" w:rsidRPr="00F40A29" w:rsidRDefault="001E055D" w:rsidP="001E055D">
      <w:pPr>
        <w:pStyle w:val="NormalWeb"/>
        <w:spacing w:before="0" w:beforeAutospacing="0" w:after="0" w:afterAutospacing="0" w:line="288" w:lineRule="auto"/>
        <w:ind w:firstLine="720"/>
        <w:jc w:val="both"/>
        <w:rPr>
          <w:sz w:val="28"/>
          <w:szCs w:val="28"/>
        </w:rPr>
      </w:pPr>
      <w:proofErr w:type="gramStart"/>
      <w:r w:rsidRPr="00F40A29">
        <w:rPr>
          <w:sz w:val="28"/>
          <w:szCs w:val="28"/>
        </w:rPr>
        <w:t>- Ủy ban nhân dân tỉnh: 05 ngày.</w:t>
      </w:r>
      <w:proofErr w:type="gramEnd"/>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5. Đối tượng thực hiện thủ tục hành chính: Tổ chức; cơ sở tôn giáo, người Việt Nam định cư ở nước ngoài; tổ chức nước ngoài có chức năng ngoại giao.</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6. Cơ quan thực hiện thủ tục hành chính: </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Cơ quan có thẩm quyền quyết định: Ủy ban nhân dân tỉnh Hà Tĩnh;</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Cơ quan trực tiếp thực hiện: Sở Tài nguyên và Môi trường; Cục thuế tỉnh.</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 Cơ quan phối hợp thực hiện: </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Trung tâm hành chính công tỉnh Hà Tĩnh;</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 UBND cấp huyện; </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7. Kết quả thực hiện thủ tục hành chính: </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Quyết định hành chính;</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8. Phí, lệ phí: Không.</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9. Tên mẫu </w:t>
      </w:r>
      <w:proofErr w:type="gramStart"/>
      <w:r w:rsidRPr="00F40A29">
        <w:rPr>
          <w:sz w:val="28"/>
          <w:szCs w:val="28"/>
        </w:rPr>
        <w:t>đơn,</w:t>
      </w:r>
      <w:proofErr w:type="gramEnd"/>
      <w:r w:rsidRPr="00F40A29">
        <w:rPr>
          <w:sz w:val="28"/>
          <w:szCs w:val="28"/>
        </w:rPr>
        <w:t xml:space="preserve"> mẫu tờ khai: Không.</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10. Yêu cầu, điều kiện thực hiện thủ tục hành chính: Không.</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11. Căn cứ pháp lý của thủ tục hành chính:</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 Luật Đất </w:t>
      </w:r>
      <w:proofErr w:type="gramStart"/>
      <w:r w:rsidRPr="00F40A29">
        <w:rPr>
          <w:sz w:val="28"/>
          <w:szCs w:val="28"/>
        </w:rPr>
        <w:t>đai</w:t>
      </w:r>
      <w:proofErr w:type="gramEnd"/>
      <w:r w:rsidRPr="00F40A29">
        <w:rPr>
          <w:sz w:val="28"/>
          <w:szCs w:val="28"/>
        </w:rPr>
        <w:t xml:space="preserve"> ngày 29/11/2013.</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xml:space="preserve">- Nghị định số 43/2014/NĐ-CP ngày 15/5/2014 của Chính phủ về quy định chi tiết thi hành một số điều của Luật Đất </w:t>
      </w:r>
      <w:proofErr w:type="gramStart"/>
      <w:r w:rsidRPr="00F40A29">
        <w:rPr>
          <w:sz w:val="28"/>
          <w:szCs w:val="28"/>
        </w:rPr>
        <w:t>đai</w:t>
      </w:r>
      <w:proofErr w:type="gramEnd"/>
      <w:r w:rsidRPr="00F40A29">
        <w:rPr>
          <w:sz w:val="28"/>
          <w:szCs w:val="28"/>
        </w:rPr>
        <w:t xml:space="preserve">; </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Nghị định số 01/2017/NĐ-CP ngày 06/01/2017 của Chính phủ về sửa đổi, bổ sung một số Nghị định quy định chi tiết thi hành Luật Đất đai;</w:t>
      </w:r>
    </w:p>
    <w:p w:rsidR="001E055D" w:rsidRPr="00F40A29" w:rsidRDefault="001E055D" w:rsidP="001E055D">
      <w:pPr>
        <w:pStyle w:val="NormalWeb"/>
        <w:spacing w:before="0" w:beforeAutospacing="0" w:after="0" w:afterAutospacing="0" w:line="288" w:lineRule="auto"/>
        <w:ind w:firstLine="720"/>
        <w:jc w:val="both"/>
        <w:rPr>
          <w:sz w:val="28"/>
          <w:szCs w:val="28"/>
        </w:rPr>
      </w:pPr>
      <w:r w:rsidRPr="00F40A29">
        <w:rPr>
          <w:sz w:val="28"/>
          <w:szCs w:val="28"/>
        </w:rPr>
        <w:t>- Thông tư số 30/2014/TT-BTNMT ngày 02/6/2014 của Bộ Tài nguyên và Môi trường quy định về hồ sơ giao đất, cho thuê đất, chuyển mục đích sử dụng đất, thu hồi đất; Thông tư số 24/2014/TT-BTNMT ngày 19/5/2014 của Bộ Tài nguyên và Môi trường quy định về hồ sơ địa chính.</w:t>
      </w:r>
    </w:p>
    <w:p w:rsidR="00885BCF" w:rsidRPr="00A54733" w:rsidRDefault="00885BCF" w:rsidP="00A54733">
      <w:bookmarkStart w:id="0" w:name="_GoBack"/>
      <w:bookmarkEnd w:id="0"/>
    </w:p>
    <w:sectPr w:rsidR="00885BCF" w:rsidRPr="00A54733" w:rsidSect="00880311">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A6" w:rsidRDefault="006D6CA6" w:rsidP="00AC50BF">
      <w:pPr>
        <w:spacing w:before="0" w:after="0" w:line="240" w:lineRule="auto"/>
      </w:pPr>
      <w:r>
        <w:separator/>
      </w:r>
    </w:p>
  </w:endnote>
  <w:endnote w:type="continuationSeparator" w:id="0">
    <w:p w:rsidR="006D6CA6" w:rsidRDefault="006D6CA6"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1E055D">
          <w:rPr>
            <w:noProof/>
          </w:rPr>
          <w:t>2</w:t>
        </w:r>
        <w:r>
          <w:rPr>
            <w:noProof/>
          </w:rPr>
          <w:fldChar w:fldCharType="end"/>
        </w:r>
      </w:p>
    </w:sdtContent>
  </w:sdt>
  <w:p w:rsidR="00C52429" w:rsidRDefault="00C52429">
    <w:pPr>
      <w:pStyle w:val="Footer"/>
    </w:pPr>
  </w:p>
  <w:p w:rsidR="00BB3F74" w:rsidRDefault="00BB3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A6" w:rsidRDefault="006D6CA6" w:rsidP="00AC50BF">
      <w:pPr>
        <w:spacing w:before="0" w:after="0" w:line="240" w:lineRule="auto"/>
      </w:pPr>
      <w:r>
        <w:separator/>
      </w:r>
    </w:p>
  </w:footnote>
  <w:footnote w:type="continuationSeparator" w:id="0">
    <w:p w:rsidR="006D6CA6" w:rsidRDefault="006D6CA6"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55D"/>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D6CA6"/>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530"/>
    <w:rsid w:val="007B1C8D"/>
    <w:rsid w:val="007B35ED"/>
    <w:rsid w:val="007B378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17A28"/>
    <w:rsid w:val="008201AC"/>
    <w:rsid w:val="00821321"/>
    <w:rsid w:val="00823F19"/>
    <w:rsid w:val="00825685"/>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1970"/>
    <w:rsid w:val="00A81F30"/>
    <w:rsid w:val="00A82C0C"/>
    <w:rsid w:val="00A84DC1"/>
    <w:rsid w:val="00A97A27"/>
    <w:rsid w:val="00AA73BA"/>
    <w:rsid w:val="00AA7BF0"/>
    <w:rsid w:val="00AB1E46"/>
    <w:rsid w:val="00AB245B"/>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3F74"/>
    <w:rsid w:val="00BB4DB0"/>
    <w:rsid w:val="00BC2D2F"/>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0529-8BD8-420D-8069-55CF0674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2017-07-13T03:35:00Z</dcterms:created>
  <dcterms:modified xsi:type="dcterms:W3CDTF">2017-07-24T03:58:00Z</dcterms:modified>
</cp:coreProperties>
</file>