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CA" w:rsidRPr="00F40A29" w:rsidRDefault="002640CA" w:rsidP="002640CA">
      <w:pPr>
        <w:autoSpaceDE w:val="0"/>
        <w:autoSpaceDN w:val="0"/>
        <w:adjustRightInd w:val="0"/>
        <w:spacing w:before="120" w:line="240" w:lineRule="auto"/>
        <w:ind w:right="-170" w:firstLine="720"/>
        <w:jc w:val="both"/>
        <w:rPr>
          <w:b/>
          <w:bCs/>
          <w:iCs/>
          <w:sz w:val="28"/>
          <w:szCs w:val="28"/>
          <w:lang w:val="nl-NL"/>
        </w:rPr>
      </w:pPr>
      <w:bookmarkStart w:id="0" w:name="_GoBack"/>
      <w:r w:rsidRPr="00F40A29">
        <w:rPr>
          <w:b/>
          <w:sz w:val="28"/>
          <w:szCs w:val="28"/>
          <w:lang w:val="nl-NL"/>
        </w:rPr>
        <w:t xml:space="preserve">3. </w:t>
      </w:r>
      <w:r w:rsidRPr="00F40A29">
        <w:rPr>
          <w:b/>
          <w:bCs/>
          <w:iCs/>
          <w:sz w:val="28"/>
          <w:szCs w:val="28"/>
          <w:lang w:val="nl-NL"/>
        </w:rPr>
        <w:t>Chuyển nhượng quyền thăm dò khoáng sản.</w:t>
      </w:r>
    </w:p>
    <w:bookmarkEnd w:id="0"/>
    <w:p w:rsidR="002640CA" w:rsidRPr="00F40A29" w:rsidRDefault="002640CA" w:rsidP="002640CA">
      <w:pPr>
        <w:spacing w:before="120" w:line="240" w:lineRule="auto"/>
        <w:ind w:firstLine="720"/>
        <w:jc w:val="both"/>
        <w:rPr>
          <w:sz w:val="28"/>
          <w:szCs w:val="28"/>
          <w:lang w:val="nl-NL"/>
        </w:rPr>
      </w:pPr>
      <w:r w:rsidRPr="00F40A29">
        <w:rPr>
          <w:sz w:val="28"/>
          <w:szCs w:val="28"/>
          <w:lang w:val="nl-NL"/>
        </w:rPr>
        <w:t xml:space="preserve">1. Trình tự thực hiện: </w:t>
      </w:r>
    </w:p>
    <w:p w:rsidR="002640CA" w:rsidRPr="00F40A29" w:rsidRDefault="002640CA" w:rsidP="002640CA">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 hoặc q</w:t>
      </w:r>
      <w:r w:rsidRPr="00F40A29">
        <w:rPr>
          <w:sz w:val="28"/>
          <w:szCs w:val="28"/>
          <w:lang w:val="es-MX"/>
        </w:rPr>
        <w:t>ua mạng điện tử (Địa chỉ http://dichvucong.hatinh.gov.vn)</w:t>
      </w:r>
      <w:r w:rsidRPr="00F40A29">
        <w:rPr>
          <w:sz w:val="28"/>
          <w:szCs w:val="28"/>
          <w:lang w:val="vi-VN"/>
        </w:rPr>
        <w:t xml:space="preserve">. </w:t>
      </w:r>
    </w:p>
    <w:p w:rsidR="002640CA" w:rsidRPr="00F40A29" w:rsidRDefault="002640CA" w:rsidP="002640CA">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2640CA" w:rsidRPr="00F40A29" w:rsidRDefault="002640CA" w:rsidP="002640CA">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trường hợp nộp hồ sơ qua </w:t>
      </w:r>
      <w:r w:rsidRPr="00F40A29">
        <w:rPr>
          <w:sz w:val="28"/>
          <w:szCs w:val="28"/>
        </w:rPr>
        <w:t>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2640CA" w:rsidRPr="00F40A29" w:rsidRDefault="002640CA" w:rsidP="002640CA">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2640CA" w:rsidRPr="00F40A29" w:rsidRDefault="002640CA" w:rsidP="002640CA">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2640CA" w:rsidRPr="00F40A29" w:rsidRDefault="002640CA" w:rsidP="002640CA">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2640CA" w:rsidRPr="00F40A29" w:rsidRDefault="002640CA" w:rsidP="002640CA">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2640CA" w:rsidRPr="00F40A29" w:rsidRDefault="002640CA" w:rsidP="002640CA">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 hoặc q</w:t>
      </w:r>
      <w:r w:rsidRPr="00F40A29">
        <w:rPr>
          <w:sz w:val="28"/>
          <w:szCs w:val="28"/>
          <w:lang w:val="es-MX"/>
        </w:rPr>
        <w:t>ua mạng điện tử (Địa chỉ http://dichvucong.hatinh.gov.vn).</w:t>
      </w:r>
    </w:p>
    <w:p w:rsidR="002640CA" w:rsidRPr="00F40A29" w:rsidRDefault="002640CA" w:rsidP="002640CA">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2640CA" w:rsidRPr="00F40A29" w:rsidRDefault="002640CA" w:rsidP="002640CA">
      <w:pPr>
        <w:spacing w:before="120" w:line="240" w:lineRule="auto"/>
        <w:ind w:firstLine="720"/>
        <w:jc w:val="both"/>
        <w:rPr>
          <w:sz w:val="28"/>
          <w:szCs w:val="28"/>
          <w:lang w:val="nl-NL"/>
        </w:rPr>
      </w:pPr>
      <w:r w:rsidRPr="00F40A29">
        <w:rPr>
          <w:sz w:val="28"/>
          <w:szCs w:val="28"/>
          <w:lang w:val="nl-NL"/>
        </w:rPr>
        <w:t>3. Thành phần, số lượng hồ sơ:</w:t>
      </w:r>
    </w:p>
    <w:p w:rsidR="002640CA" w:rsidRPr="00F40A29" w:rsidRDefault="002640CA" w:rsidP="002640CA">
      <w:pPr>
        <w:spacing w:before="120" w:line="240" w:lineRule="auto"/>
        <w:ind w:firstLine="720"/>
        <w:jc w:val="both"/>
        <w:rPr>
          <w:sz w:val="28"/>
          <w:szCs w:val="28"/>
        </w:rPr>
      </w:pPr>
      <w:r w:rsidRPr="00F40A29">
        <w:rPr>
          <w:sz w:val="28"/>
          <w:szCs w:val="28"/>
        </w:rPr>
        <w:t xml:space="preserve">a) Thành phần hồ sơ, bao gồm: </w:t>
      </w:r>
    </w:p>
    <w:p w:rsidR="002640CA" w:rsidRPr="00F40A29" w:rsidRDefault="002640CA" w:rsidP="002640CA">
      <w:pPr>
        <w:spacing w:before="120" w:line="240" w:lineRule="auto"/>
        <w:ind w:firstLine="720"/>
        <w:jc w:val="both"/>
        <w:rPr>
          <w:sz w:val="28"/>
          <w:szCs w:val="28"/>
        </w:rPr>
      </w:pPr>
      <w:r w:rsidRPr="00F40A29">
        <w:rPr>
          <w:sz w:val="28"/>
          <w:szCs w:val="28"/>
        </w:rPr>
        <w:t>- Bản chính: Đơn đề nghị chuyển nhượng quyền thăm dò khoáng sản (</w:t>
      </w:r>
      <w:proofErr w:type="gramStart"/>
      <w:r w:rsidRPr="00F40A29">
        <w:rPr>
          <w:sz w:val="28"/>
          <w:szCs w:val="28"/>
        </w:rPr>
        <w:t>theo</w:t>
      </w:r>
      <w:proofErr w:type="gramEnd"/>
      <w:r w:rsidRPr="00F40A29">
        <w:rPr>
          <w:sz w:val="28"/>
          <w:szCs w:val="28"/>
        </w:rPr>
        <w:t xml:space="preserve"> Mẫu 06 kèm theo); hợp đồng chuyển nhượng quyền thăm dò khoáng sản; báo cáo kết quả thăm dò khoáng sản đến thời điểm đề nghị chuyển nhượng quyền thăm dò khoáng sản.</w:t>
      </w:r>
    </w:p>
    <w:p w:rsidR="002640CA" w:rsidRPr="00F40A29" w:rsidRDefault="002640CA" w:rsidP="002640CA">
      <w:pPr>
        <w:spacing w:before="120" w:line="240" w:lineRule="auto"/>
        <w:ind w:firstLine="720"/>
        <w:jc w:val="both"/>
        <w:rPr>
          <w:sz w:val="28"/>
          <w:szCs w:val="28"/>
        </w:rPr>
      </w:pPr>
      <w:r w:rsidRPr="00F40A29">
        <w:rPr>
          <w:sz w:val="28"/>
          <w:szCs w:val="28"/>
        </w:rPr>
        <w:t xml:space="preserve">- Bản chính hoặc bản sao có chứng thực: các văn bản chứng minh việc tổ chức, cá nhân chuyển nhượng đã hoàn thành nghĩa vụ quy định tại các điểm a, b, c, d và e khoản 2 Điều 42; khoản 3 Điều 43 Luật khoáng sản; giấy chứng nhận đăng ký kinh doanh của tổ chức, cá nhân nhận chuyển nhượng quyền thăm dò khoáng sản; </w:t>
      </w:r>
    </w:p>
    <w:p w:rsidR="002640CA" w:rsidRPr="00F40A29" w:rsidRDefault="002640CA" w:rsidP="002640CA">
      <w:pPr>
        <w:spacing w:line="360" w:lineRule="exact"/>
        <w:ind w:firstLine="720"/>
        <w:jc w:val="both"/>
        <w:rPr>
          <w:i/>
          <w:sz w:val="28"/>
          <w:szCs w:val="28"/>
        </w:rPr>
      </w:pPr>
      <w:r w:rsidRPr="00F40A29">
        <w:rPr>
          <w:i/>
          <w:sz w:val="28"/>
          <w:szCs w:val="28"/>
          <w:u w:val="single"/>
          <w:lang w:val="vi-VN"/>
        </w:rPr>
        <w:lastRenderedPageBreak/>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2640CA" w:rsidRPr="00F40A29" w:rsidRDefault="002640CA" w:rsidP="002640CA">
      <w:pPr>
        <w:spacing w:before="120" w:line="240" w:lineRule="auto"/>
        <w:ind w:firstLine="720"/>
        <w:jc w:val="both"/>
        <w:rPr>
          <w:sz w:val="28"/>
          <w:szCs w:val="28"/>
        </w:rPr>
      </w:pPr>
      <w:r w:rsidRPr="00F40A29">
        <w:rPr>
          <w:sz w:val="28"/>
          <w:szCs w:val="28"/>
        </w:rPr>
        <w:t>b) Số lượng hồ sơ: 03 (ba) bộ</w:t>
      </w:r>
    </w:p>
    <w:p w:rsidR="002640CA" w:rsidRPr="00F40A29" w:rsidRDefault="002640CA" w:rsidP="002640CA">
      <w:pPr>
        <w:adjustRightInd w:val="0"/>
        <w:spacing w:before="120" w:line="240" w:lineRule="auto"/>
        <w:jc w:val="both"/>
        <w:rPr>
          <w:sz w:val="28"/>
          <w:szCs w:val="28"/>
        </w:rPr>
      </w:pPr>
      <w:r w:rsidRPr="00F40A29">
        <w:rPr>
          <w:sz w:val="28"/>
          <w:szCs w:val="28"/>
        </w:rPr>
        <w:tab/>
        <w:t xml:space="preserve">4. Thời hạn giải quyết: Không quá 17 ngày làm việc, kể từ khi nhận đủ hồ </w:t>
      </w:r>
      <w:proofErr w:type="gramStart"/>
      <w:r w:rsidRPr="00F40A29">
        <w:rPr>
          <w:sz w:val="28"/>
          <w:szCs w:val="28"/>
        </w:rPr>
        <w:t>sơ</w:t>
      </w:r>
      <w:proofErr w:type="gramEnd"/>
      <w:r w:rsidRPr="00F40A29">
        <w:rPr>
          <w:sz w:val="28"/>
          <w:szCs w:val="28"/>
        </w:rPr>
        <w:t xml:space="preserve"> hợp lệ, trong đó:</w:t>
      </w:r>
    </w:p>
    <w:p w:rsidR="002640CA" w:rsidRPr="00F40A29" w:rsidRDefault="002640CA" w:rsidP="002640CA">
      <w:pPr>
        <w:adjustRightInd w:val="0"/>
        <w:spacing w:before="120" w:line="240" w:lineRule="auto"/>
        <w:jc w:val="both"/>
        <w:rPr>
          <w:sz w:val="28"/>
          <w:szCs w:val="28"/>
        </w:rPr>
      </w:pPr>
      <w:r w:rsidRPr="00F40A29">
        <w:rPr>
          <w:sz w:val="28"/>
          <w:szCs w:val="28"/>
        </w:rPr>
        <w:tab/>
        <w:t>- Sở Tài nguyên và Môi trường: 12 ngày</w:t>
      </w:r>
    </w:p>
    <w:p w:rsidR="002640CA" w:rsidRPr="00F40A29" w:rsidRDefault="002640CA" w:rsidP="002640CA">
      <w:pPr>
        <w:adjustRightInd w:val="0"/>
        <w:spacing w:before="120" w:line="240" w:lineRule="auto"/>
        <w:jc w:val="both"/>
        <w:rPr>
          <w:sz w:val="28"/>
          <w:szCs w:val="28"/>
        </w:rPr>
      </w:pPr>
      <w:r w:rsidRPr="00F40A29">
        <w:rPr>
          <w:sz w:val="28"/>
          <w:szCs w:val="28"/>
        </w:rPr>
        <w:tab/>
        <w:t>- Ủy ban nhân dân tỉnh: 05 ngày</w:t>
      </w:r>
    </w:p>
    <w:p w:rsidR="002640CA" w:rsidRPr="00F40A29" w:rsidRDefault="002640CA" w:rsidP="002640CA">
      <w:pPr>
        <w:adjustRightInd w:val="0"/>
        <w:spacing w:before="120" w:line="240" w:lineRule="auto"/>
        <w:ind w:firstLine="720"/>
        <w:jc w:val="both"/>
        <w:rPr>
          <w:i/>
          <w:sz w:val="28"/>
          <w:szCs w:val="28"/>
        </w:rPr>
      </w:pPr>
      <w:r w:rsidRPr="00F40A29">
        <w:rPr>
          <w:i/>
          <w:sz w:val="28"/>
          <w:szCs w:val="28"/>
        </w:rPr>
        <w:t>Ghi chú:</w:t>
      </w:r>
      <w:r w:rsidRPr="00F40A29">
        <w:rPr>
          <w:sz w:val="28"/>
          <w:szCs w:val="28"/>
        </w:rPr>
        <w:t xml:space="preserve"> </w:t>
      </w:r>
      <w:r w:rsidRPr="00F40A29">
        <w:rPr>
          <w:i/>
          <w:sz w:val="28"/>
          <w:szCs w:val="28"/>
        </w:rPr>
        <w:t>Thời hạn giải quyết hồ sơ không tính vào thời gian lấy ý kiến của các cơ quan hữu quan về các vấn đề liên quan đến việc chuyển nhượng quyền</w:t>
      </w:r>
      <w:r w:rsidRPr="00F40A29">
        <w:rPr>
          <w:bCs/>
          <w:i/>
          <w:iCs/>
          <w:sz w:val="28"/>
          <w:szCs w:val="28"/>
        </w:rPr>
        <w:t xml:space="preserve"> thăm dò</w:t>
      </w:r>
      <w:r w:rsidRPr="00F40A29">
        <w:rPr>
          <w:bCs/>
          <w:iCs/>
          <w:sz w:val="28"/>
          <w:szCs w:val="28"/>
        </w:rPr>
        <w:t xml:space="preserve"> </w:t>
      </w:r>
      <w:r w:rsidRPr="00F40A29">
        <w:rPr>
          <w:i/>
          <w:sz w:val="28"/>
          <w:szCs w:val="28"/>
        </w:rPr>
        <w:t>khoáng sản (trường hợp cần thiết).</w:t>
      </w:r>
    </w:p>
    <w:p w:rsidR="002640CA" w:rsidRPr="00F40A29" w:rsidRDefault="002640CA" w:rsidP="002640CA">
      <w:pPr>
        <w:adjustRightInd w:val="0"/>
        <w:spacing w:before="120" w:line="240" w:lineRule="auto"/>
        <w:ind w:firstLine="720"/>
        <w:jc w:val="both"/>
        <w:rPr>
          <w:sz w:val="28"/>
          <w:szCs w:val="28"/>
        </w:rPr>
      </w:pPr>
      <w:r w:rsidRPr="00F40A29">
        <w:rPr>
          <w:sz w:val="28"/>
          <w:szCs w:val="28"/>
        </w:rPr>
        <w:t xml:space="preserve">5. Đối tượng thực hiện thủ tục hành chính: Tổ chức, Cá nhân                                                                 </w:t>
      </w:r>
    </w:p>
    <w:p w:rsidR="002640CA" w:rsidRPr="00F40A29" w:rsidRDefault="002640CA" w:rsidP="002640CA">
      <w:pPr>
        <w:spacing w:before="120" w:line="240" w:lineRule="auto"/>
        <w:ind w:firstLine="720"/>
        <w:jc w:val="both"/>
        <w:rPr>
          <w:sz w:val="28"/>
          <w:szCs w:val="28"/>
        </w:rPr>
      </w:pPr>
      <w:r w:rsidRPr="00F40A29">
        <w:rPr>
          <w:sz w:val="28"/>
          <w:szCs w:val="28"/>
        </w:rPr>
        <w:t xml:space="preserve">6. Cơ quan thực hiện thủ tục hành chính: Sở Tài nguyên và Môi trường tỉnh Hà Tĩnh. </w:t>
      </w:r>
    </w:p>
    <w:p w:rsidR="002640CA" w:rsidRPr="00F40A29" w:rsidRDefault="002640CA" w:rsidP="002640CA">
      <w:pPr>
        <w:spacing w:before="120" w:line="240" w:lineRule="auto"/>
        <w:ind w:firstLine="720"/>
        <w:jc w:val="both"/>
        <w:rPr>
          <w:sz w:val="28"/>
          <w:szCs w:val="28"/>
        </w:rPr>
      </w:pPr>
      <w:r w:rsidRPr="00F40A29">
        <w:rPr>
          <w:sz w:val="28"/>
          <w:szCs w:val="28"/>
        </w:rPr>
        <w:t xml:space="preserve">7. Kết quả thực hiện thủ tục hành chính: Giấy phép. </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8. Lệ phí: </w:t>
      </w:r>
    </w:p>
    <w:p w:rsidR="002640CA" w:rsidRPr="00F40A29" w:rsidRDefault="002640CA" w:rsidP="002640CA">
      <w:pPr>
        <w:spacing w:before="0" w:after="0" w:line="240" w:lineRule="atLeast"/>
        <w:ind w:firstLine="720"/>
        <w:jc w:val="both"/>
        <w:rPr>
          <w:sz w:val="28"/>
          <w:szCs w:val="28"/>
        </w:rPr>
      </w:pPr>
      <w:r w:rsidRPr="00F40A29">
        <w:rPr>
          <w:sz w:val="28"/>
          <w:szCs w:val="28"/>
        </w:rPr>
        <w:t>Lệ phí cấp giấy phép chuyển nhượng quyền thăm dò khoáng sản (tính bằng 50% lệ phí cấp giấy phép thăm dò khoáng sản), cụ thể:</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 Diện tích thăm dò nhỏ hơn 100 ha, mức </w:t>
      </w:r>
      <w:proofErr w:type="gramStart"/>
      <w:r w:rsidRPr="00F40A29">
        <w:rPr>
          <w:sz w:val="28"/>
          <w:szCs w:val="28"/>
        </w:rPr>
        <w:t>thu</w:t>
      </w:r>
      <w:proofErr w:type="gramEnd"/>
      <w:r w:rsidRPr="00F40A29">
        <w:rPr>
          <w:sz w:val="28"/>
          <w:szCs w:val="28"/>
        </w:rPr>
        <w:t xml:space="preserve"> là 2.000.000 đồng/01 giấy phép;</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 Diện tích thăm dò từ 100 ha đến 50.000 ha, mức </w:t>
      </w:r>
      <w:proofErr w:type="gramStart"/>
      <w:r w:rsidRPr="00F40A29">
        <w:rPr>
          <w:sz w:val="28"/>
          <w:szCs w:val="28"/>
        </w:rPr>
        <w:t>thu</w:t>
      </w:r>
      <w:proofErr w:type="gramEnd"/>
      <w:r w:rsidRPr="00F40A29">
        <w:rPr>
          <w:sz w:val="28"/>
          <w:szCs w:val="28"/>
        </w:rPr>
        <w:t xml:space="preserve"> là 5.000.000 đồng/01 giấy phép;</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 Diện tích thăm dò trên 50.000 ha, mức </w:t>
      </w:r>
      <w:proofErr w:type="gramStart"/>
      <w:r w:rsidRPr="00F40A29">
        <w:rPr>
          <w:sz w:val="28"/>
          <w:szCs w:val="28"/>
        </w:rPr>
        <w:t>thu</w:t>
      </w:r>
      <w:proofErr w:type="gramEnd"/>
      <w:r w:rsidRPr="00F40A29">
        <w:rPr>
          <w:sz w:val="28"/>
          <w:szCs w:val="28"/>
        </w:rPr>
        <w:t xml:space="preserve"> là 7.500.000 đồng/01 giấy phép.</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9. Tên mẫu đơn, mẫu tờ khai: Đơn đề nghị chuyển nhượng quyền thăm dò khoáng sản </w:t>
      </w:r>
      <w:r w:rsidRPr="00F40A29">
        <w:rPr>
          <w:i/>
          <w:sz w:val="28"/>
          <w:szCs w:val="28"/>
        </w:rPr>
        <w:t xml:space="preserve">(Mẫu số 06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r w:rsidRPr="00F40A29">
        <w:rPr>
          <w:sz w:val="28"/>
          <w:szCs w:val="28"/>
        </w:rPr>
        <w:t xml:space="preserve">: </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10. Yêu cầu, điều kiện thực hiện thủ tục hành chính: Không. </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11. Căn cứ pháp lý của thủ tục hành chính: </w:t>
      </w:r>
    </w:p>
    <w:p w:rsidR="002640CA" w:rsidRPr="00F40A29" w:rsidRDefault="002640CA" w:rsidP="002640CA">
      <w:pPr>
        <w:spacing w:before="0" w:after="0" w:line="240" w:lineRule="atLeast"/>
        <w:ind w:firstLine="720"/>
        <w:jc w:val="both"/>
        <w:rPr>
          <w:sz w:val="28"/>
          <w:szCs w:val="28"/>
        </w:rPr>
      </w:pPr>
      <w:proofErr w:type="gramStart"/>
      <w:r w:rsidRPr="00F40A29">
        <w:rPr>
          <w:sz w:val="28"/>
          <w:szCs w:val="28"/>
        </w:rPr>
        <w:t>- Luật Khoáng sản ngày 17/11/2010.</w:t>
      </w:r>
      <w:proofErr w:type="gramEnd"/>
    </w:p>
    <w:p w:rsidR="002640CA" w:rsidRPr="00F40A29" w:rsidRDefault="002640CA" w:rsidP="002640CA">
      <w:pPr>
        <w:spacing w:before="0" w:after="0" w:line="240" w:lineRule="atLeast"/>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2640CA" w:rsidRPr="00F40A29" w:rsidRDefault="002640CA" w:rsidP="002640CA">
      <w:pPr>
        <w:spacing w:before="0" w:after="0" w:line="240" w:lineRule="atLeast"/>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2640CA" w:rsidRPr="00F40A29" w:rsidRDefault="002640CA" w:rsidP="002640CA">
      <w:pPr>
        <w:spacing w:before="0" w:after="0" w:line="240" w:lineRule="atLeast"/>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2640CA" w:rsidRPr="00F40A29" w:rsidRDefault="002640CA" w:rsidP="002640CA">
      <w:pPr>
        <w:widowControl w:val="0"/>
        <w:spacing w:before="120" w:line="240" w:lineRule="auto"/>
        <w:jc w:val="both"/>
        <w:outlineLvl w:val="0"/>
        <w:rPr>
          <w:i/>
          <w:sz w:val="28"/>
          <w:szCs w:val="28"/>
          <w:lang w:val="nl-NL"/>
        </w:rPr>
      </w:pPr>
    </w:p>
    <w:p w:rsidR="002640CA" w:rsidRPr="00F40A29" w:rsidRDefault="002640CA" w:rsidP="002640CA">
      <w:pPr>
        <w:widowControl w:val="0"/>
        <w:spacing w:before="120" w:line="240" w:lineRule="auto"/>
        <w:jc w:val="right"/>
        <w:outlineLvl w:val="0"/>
        <w:rPr>
          <w:i/>
          <w:lang w:val="nl-NL"/>
        </w:rPr>
      </w:pPr>
      <w:r w:rsidRPr="00F40A29">
        <w:rPr>
          <w:i/>
          <w:lang w:val="nl-NL"/>
        </w:rPr>
        <w:t>Mẫu số 06</w:t>
      </w:r>
    </w:p>
    <w:tbl>
      <w:tblPr>
        <w:tblW w:w="9072" w:type="dxa"/>
        <w:tblInd w:w="108" w:type="dxa"/>
        <w:tblLook w:val="01E0" w:firstRow="1" w:lastRow="1" w:firstColumn="1" w:lastColumn="1" w:noHBand="0" w:noVBand="0"/>
      </w:tblPr>
      <w:tblGrid>
        <w:gridCol w:w="9072"/>
      </w:tblGrid>
      <w:tr w:rsidR="002640CA" w:rsidRPr="00B16068" w:rsidTr="00792CCE">
        <w:tc>
          <w:tcPr>
            <w:tcW w:w="9072" w:type="dxa"/>
          </w:tcPr>
          <w:p w:rsidR="002640CA" w:rsidRPr="00F40A29" w:rsidRDefault="002640CA" w:rsidP="00792CCE">
            <w:pPr>
              <w:widowControl w:val="0"/>
              <w:spacing w:before="120" w:line="240" w:lineRule="auto"/>
              <w:jc w:val="center"/>
              <w:rPr>
                <w:b/>
                <w:lang w:val="nl-NL"/>
              </w:rPr>
            </w:pPr>
            <w:r w:rsidRPr="00F40A29">
              <w:rPr>
                <w:b/>
                <w:lang w:val="nl-NL"/>
              </w:rPr>
              <w:lastRenderedPageBreak/>
              <w:t>CỘNG HOÀ XÃ HỘI CHỦ NGHĨA VIỆT NAM</w:t>
            </w:r>
          </w:p>
          <w:p w:rsidR="002640CA" w:rsidRPr="00F40A29" w:rsidRDefault="002640CA" w:rsidP="00792CCE">
            <w:pPr>
              <w:widowControl w:val="0"/>
              <w:spacing w:before="120" w:line="240" w:lineRule="auto"/>
              <w:jc w:val="center"/>
              <w:rPr>
                <w:b/>
                <w:lang w:val="nl-NL"/>
              </w:rPr>
            </w:pPr>
            <w:r w:rsidRPr="00F40A29">
              <w:rPr>
                <w:b/>
                <w:lang w:val="nl-NL"/>
              </w:rPr>
              <w:t>Độc lập - Tự do - Hạnh phúc</w:t>
            </w:r>
          </w:p>
          <w:p w:rsidR="002640CA" w:rsidRPr="00F40A29" w:rsidRDefault="002640CA" w:rsidP="00792CCE">
            <w:pPr>
              <w:widowControl w:val="0"/>
              <w:spacing w:before="120" w:line="240" w:lineRule="auto"/>
              <w:rPr>
                <w:b/>
                <w:i/>
                <w:lang w:val="nl-NL"/>
              </w:rPr>
            </w:pPr>
            <w:r w:rsidRPr="00F40A29">
              <w:rPr>
                <w:b/>
                <w:i/>
                <w:noProof/>
              </w:rPr>
              <mc:AlternateContent>
                <mc:Choice Requires="wps">
                  <w:drawing>
                    <wp:anchor distT="0" distB="0" distL="114300" distR="114300" simplePos="0" relativeHeight="251659264" behindDoc="0" locked="0" layoutInCell="1" allowOverlap="1" wp14:anchorId="55FB2C78" wp14:editId="1FE5D781">
                      <wp:simplePos x="0" y="0"/>
                      <wp:positionH relativeFrom="column">
                        <wp:posOffset>1922288</wp:posOffset>
                      </wp:positionH>
                      <wp:positionV relativeFrom="paragraph">
                        <wp:posOffset>3810</wp:posOffset>
                      </wp:positionV>
                      <wp:extent cx="1820173" cy="8626"/>
                      <wp:effectExtent l="0" t="0" r="27940" b="29845"/>
                      <wp:wrapNone/>
                      <wp:docPr id="272" name="Straight Connector 272"/>
                      <wp:cNvGraphicFramePr/>
                      <a:graphic xmlns:a="http://schemas.openxmlformats.org/drawingml/2006/main">
                        <a:graphicData uri="http://schemas.microsoft.com/office/word/2010/wordprocessingShape">
                          <wps:wsp>
                            <wps:cNvCnPr/>
                            <wps:spPr>
                              <a:xfrm flipV="1">
                                <a:off x="0" y="0"/>
                                <a:ext cx="1820173"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1.35pt,.3pt" to="29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" strokecolor="#4579b8 [3044]"/>
                  </w:pict>
                </mc:Fallback>
              </mc:AlternateContent>
            </w:r>
          </w:p>
          <w:p w:rsidR="002640CA" w:rsidRPr="00F40A29" w:rsidRDefault="002640CA" w:rsidP="00792CCE">
            <w:pPr>
              <w:widowControl w:val="0"/>
              <w:spacing w:before="120" w:line="240" w:lineRule="auto"/>
              <w:jc w:val="right"/>
              <w:rPr>
                <w:i/>
                <w:lang w:val="nl-NL"/>
              </w:rPr>
            </w:pPr>
            <w:r w:rsidRPr="00F40A29">
              <w:rPr>
                <w:i/>
                <w:lang w:val="nl-NL"/>
              </w:rPr>
              <w:t>Địa danh,  ngày... tháng... năm.....</w:t>
            </w:r>
          </w:p>
        </w:tc>
      </w:tr>
    </w:tbl>
    <w:p w:rsidR="002640CA" w:rsidRPr="00F40A29" w:rsidRDefault="002640CA" w:rsidP="002640CA">
      <w:pPr>
        <w:widowControl w:val="0"/>
        <w:spacing w:before="120" w:line="240" w:lineRule="auto"/>
        <w:rPr>
          <w:lang w:val="nl-NL"/>
        </w:rPr>
      </w:pPr>
    </w:p>
    <w:p w:rsidR="002640CA" w:rsidRPr="00F40A29" w:rsidRDefault="002640CA" w:rsidP="002640CA">
      <w:pPr>
        <w:pStyle w:val="Giua"/>
        <w:widowControl w:val="0"/>
        <w:spacing w:before="120" w:after="0"/>
        <w:outlineLvl w:val="0"/>
        <w:rPr>
          <w:color w:val="auto"/>
          <w:sz w:val="26"/>
          <w:szCs w:val="24"/>
          <w:lang w:val="nl-NL"/>
        </w:rPr>
      </w:pPr>
      <w:r w:rsidRPr="00F40A29">
        <w:rPr>
          <w:color w:val="auto"/>
          <w:sz w:val="26"/>
          <w:szCs w:val="24"/>
          <w:lang w:val="nl-NL"/>
        </w:rPr>
        <w:t>ĐƠN ĐỀ NGHỊ CHUYỂN NHƯỢNG QUYỀN THĂM DÒ KHOÁNG SẢN</w:t>
      </w:r>
    </w:p>
    <w:p w:rsidR="002640CA" w:rsidRPr="00F40A29" w:rsidRDefault="002640CA" w:rsidP="002640CA">
      <w:pPr>
        <w:widowControl w:val="0"/>
        <w:spacing w:before="120" w:line="240" w:lineRule="auto"/>
        <w:rPr>
          <w:lang w:val="nl-NL"/>
        </w:rPr>
      </w:pPr>
    </w:p>
    <w:p w:rsidR="002640CA" w:rsidRPr="00F40A29" w:rsidRDefault="002640CA" w:rsidP="002640CA">
      <w:pPr>
        <w:widowControl w:val="0"/>
        <w:spacing w:before="120" w:line="240" w:lineRule="auto"/>
        <w:jc w:val="center"/>
        <w:outlineLvl w:val="0"/>
        <w:rPr>
          <w:lang w:val="nl-NL"/>
        </w:rPr>
      </w:pPr>
      <w:r w:rsidRPr="00F40A29">
        <w:rPr>
          <w:lang w:val="nl-NL"/>
        </w:rPr>
        <w:t>Kính gửi: Bộ Tài nguyên và Môi trường</w:t>
      </w:r>
    </w:p>
    <w:p w:rsidR="002640CA" w:rsidRPr="00F40A29" w:rsidRDefault="002640CA" w:rsidP="002640CA">
      <w:pPr>
        <w:widowControl w:val="0"/>
        <w:spacing w:before="120" w:line="240" w:lineRule="auto"/>
        <w:jc w:val="center"/>
        <w:rPr>
          <w:b/>
          <w:i/>
          <w:lang w:val="nl-NL"/>
        </w:rPr>
      </w:pPr>
      <w:r w:rsidRPr="00F40A29">
        <w:rPr>
          <w:lang w:val="nl-NL"/>
        </w:rPr>
        <w:t>(Uỷ ban nhân dân tỉnh.........)</w:t>
      </w:r>
    </w:p>
    <w:p w:rsidR="002640CA" w:rsidRPr="00F40A29" w:rsidRDefault="002640CA" w:rsidP="002640CA">
      <w:pPr>
        <w:widowControl w:val="0"/>
        <w:spacing w:before="120" w:line="240" w:lineRule="auto"/>
        <w:rPr>
          <w:lang w:val="nl-NL"/>
        </w:rPr>
      </w:pP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......(Tên tổ chức, cá nhân đề nghị chuyển nhượng)</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Trụ sở tại:...................................................................................................... </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Điện thoại:......................................... Fax:.................................................... </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Được phép thăm dò khoáng sản... (tên khoáng sản) tại xã ....., huyện........., tỉnh........theo Giấy phép thăm dò số....., ngày.... tháng.... năm.....của .... Bộ Tài nguyên và Môi trường (Ủy ban nhân dân tỉnh/thành phố.....)</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Đề nghị được chuyển nhượng quyền thăm dò khoáng sản cho:</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......(Tên tổ chức, cá nhân nhận chuyển nhượng)</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Trụ sở tại:...................................................................................................... </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Điện thoại:......................................... Fax:.................................................... </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Giấy chứng nhận đăng ký doanh nghiệp số .... ngày.....tháng....năm....do..... (tên cơ quan) cấp; hoặc Giấy phép đầu tư số .....ngày.....tháng....năm .... do..... (Cơ quan cấp giấy phép đầu tư) cấp/Quyết định thành lập văn phòng đại diện số.... ngày.... .tháng.... năm .... do..... (Cơ quan quyết định thành lập văn phòng đại diện) cấp (đối với doanh nghiệp nước ngoài).</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Hợp đồng chuyển nhượng số........... ngày.... tháng.... năm...... </w:t>
      </w:r>
    </w:p>
    <w:p w:rsidR="002640CA" w:rsidRPr="00F40A29" w:rsidRDefault="002640CA" w:rsidP="002640CA">
      <w:pPr>
        <w:widowControl w:val="0"/>
        <w:autoSpaceDE w:val="0"/>
        <w:autoSpaceDN w:val="0"/>
        <w:adjustRightInd w:val="0"/>
        <w:spacing w:before="120" w:line="240" w:lineRule="auto"/>
        <w:ind w:firstLine="709"/>
        <w:rPr>
          <w:lang w:val="nl-NL"/>
        </w:rPr>
      </w:pPr>
      <w:r w:rsidRPr="00F40A29">
        <w:rPr>
          <w:lang w:val="nl-NL"/>
        </w:rPr>
        <w:t xml:space="preserve"> (Tên tổ chức, cá nhân)............. cam đoan thực hiện đúng quy định của pháp luật về khoáng sản và quy định của pháp luật khác có liên quan./.</w:t>
      </w:r>
    </w:p>
    <w:tbl>
      <w:tblPr>
        <w:tblW w:w="10212" w:type="dxa"/>
        <w:jc w:val="center"/>
        <w:tblLayout w:type="fixed"/>
        <w:tblLook w:val="04A0" w:firstRow="1" w:lastRow="0" w:firstColumn="1" w:lastColumn="0" w:noHBand="0" w:noVBand="1"/>
      </w:tblPr>
      <w:tblGrid>
        <w:gridCol w:w="5105"/>
        <w:gridCol w:w="5107"/>
      </w:tblGrid>
      <w:tr w:rsidR="002640CA" w:rsidRPr="00F40A29" w:rsidTr="00792CCE">
        <w:trPr>
          <w:jc w:val="center"/>
        </w:trPr>
        <w:tc>
          <w:tcPr>
            <w:tcW w:w="5105" w:type="dxa"/>
          </w:tcPr>
          <w:p w:rsidR="002640CA" w:rsidRPr="00F40A29" w:rsidRDefault="002640CA" w:rsidP="00792CCE">
            <w:pPr>
              <w:widowControl w:val="0"/>
              <w:spacing w:before="120" w:line="240" w:lineRule="auto"/>
              <w:jc w:val="center"/>
              <w:rPr>
                <w:b/>
                <w:lang w:val="nl-NL"/>
              </w:rPr>
            </w:pPr>
            <w:r w:rsidRPr="00F40A29">
              <w:rPr>
                <w:b/>
                <w:lang w:val="nl-NL"/>
              </w:rPr>
              <w:t>Tổ chức, cá nhân đề nghị chuyển nhượng</w:t>
            </w:r>
          </w:p>
          <w:p w:rsidR="002640CA" w:rsidRPr="00F40A29" w:rsidRDefault="002640CA" w:rsidP="00792CCE">
            <w:pPr>
              <w:widowControl w:val="0"/>
              <w:spacing w:before="120" w:line="240" w:lineRule="auto"/>
              <w:jc w:val="center"/>
              <w:rPr>
                <w:lang w:val="nl-NL"/>
              </w:rPr>
            </w:pPr>
            <w:r w:rsidRPr="00F40A29">
              <w:rPr>
                <w:lang w:val="nl-NL"/>
              </w:rPr>
              <w:t>(Ký tên, đóng dấu)</w:t>
            </w:r>
          </w:p>
        </w:tc>
        <w:tc>
          <w:tcPr>
            <w:tcW w:w="5107" w:type="dxa"/>
          </w:tcPr>
          <w:p w:rsidR="002640CA" w:rsidRPr="00F40A29" w:rsidRDefault="002640CA" w:rsidP="00792CCE">
            <w:pPr>
              <w:widowControl w:val="0"/>
              <w:spacing w:before="120" w:line="240" w:lineRule="auto"/>
              <w:jc w:val="center"/>
              <w:rPr>
                <w:b/>
                <w:lang w:val="nl-NL"/>
              </w:rPr>
            </w:pPr>
            <w:r w:rsidRPr="00F40A29">
              <w:rPr>
                <w:b/>
                <w:lang w:val="nl-NL"/>
              </w:rPr>
              <w:t>Tổ chức, cá nhân nhận chuyển nhượng</w:t>
            </w:r>
          </w:p>
          <w:p w:rsidR="002640CA" w:rsidRPr="00F40A29" w:rsidRDefault="002640CA" w:rsidP="00792CCE">
            <w:pPr>
              <w:widowControl w:val="0"/>
              <w:spacing w:before="120" w:line="240" w:lineRule="auto"/>
              <w:jc w:val="center"/>
              <w:rPr>
                <w:lang w:val="nl-NL"/>
              </w:rPr>
            </w:pPr>
            <w:r w:rsidRPr="00F40A29">
              <w:rPr>
                <w:lang w:val="nl-NL"/>
              </w:rPr>
              <w:t>(Ký tên, đóng dấu)</w:t>
            </w:r>
          </w:p>
        </w:tc>
      </w:tr>
    </w:tbl>
    <w:p w:rsidR="00885BCF" w:rsidRPr="002640CA" w:rsidRDefault="002640CA" w:rsidP="002640CA">
      <w:r w:rsidRPr="00F40A29">
        <w:rPr>
          <w:lang w:val="nl-NL"/>
        </w:rPr>
        <w:br w:type="page"/>
      </w:r>
    </w:p>
    <w:sectPr w:rsidR="00885BCF" w:rsidRPr="002640CA"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7C" w:rsidRDefault="00EA087C" w:rsidP="00AC50BF">
      <w:pPr>
        <w:spacing w:before="0" w:after="0" w:line="240" w:lineRule="auto"/>
      </w:pPr>
      <w:r>
        <w:separator/>
      </w:r>
    </w:p>
  </w:endnote>
  <w:endnote w:type="continuationSeparator" w:id="0">
    <w:p w:rsidR="00EA087C" w:rsidRDefault="00EA087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2640CA">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7C" w:rsidRDefault="00EA087C" w:rsidP="00AC50BF">
      <w:pPr>
        <w:spacing w:before="0" w:after="0" w:line="240" w:lineRule="auto"/>
      </w:pPr>
      <w:r>
        <w:separator/>
      </w:r>
    </w:p>
  </w:footnote>
  <w:footnote w:type="continuationSeparator" w:id="0">
    <w:p w:rsidR="00EA087C" w:rsidRDefault="00EA087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87C"/>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162F-A608-473D-A0AF-676EE1E2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2017-07-13T01:18:00Z</dcterms:created>
  <dcterms:modified xsi:type="dcterms:W3CDTF">2017-07-13T01:18:00Z</dcterms:modified>
</cp:coreProperties>
</file>