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E1" w:rsidRPr="00F40A29" w:rsidRDefault="00C026E1" w:rsidP="00C026E1">
      <w:pPr>
        <w:ind w:firstLine="720"/>
        <w:rPr>
          <w:b/>
          <w:sz w:val="28"/>
          <w:szCs w:val="28"/>
          <w:lang w:val="sv-SE"/>
        </w:rPr>
      </w:pPr>
      <w:r w:rsidRPr="00F40A29">
        <w:rPr>
          <w:b/>
          <w:sz w:val="28"/>
          <w:szCs w:val="28"/>
          <w:lang w:val="sv-SE"/>
        </w:rPr>
        <w:t>2. Thẩm định chất lượng công trình sản phẩm đo đạc và bản đồ</w:t>
      </w:r>
    </w:p>
    <w:p w:rsidR="00C026E1" w:rsidRPr="00F40A29" w:rsidRDefault="00C026E1" w:rsidP="00C026E1">
      <w:pPr>
        <w:spacing w:before="120" w:line="240" w:lineRule="auto"/>
        <w:ind w:firstLine="720"/>
        <w:jc w:val="both"/>
        <w:rPr>
          <w:sz w:val="28"/>
          <w:szCs w:val="28"/>
          <w:lang w:val="sv-SE"/>
        </w:rPr>
      </w:pPr>
      <w:bookmarkStart w:id="0" w:name="_GoBack"/>
      <w:r w:rsidRPr="00F40A29">
        <w:rPr>
          <w:sz w:val="28"/>
          <w:szCs w:val="28"/>
          <w:lang w:val="sv-SE"/>
        </w:rPr>
        <w:t xml:space="preserve">1. Trình tự thực hiện: </w:t>
      </w:r>
    </w:p>
    <w:p w:rsidR="00C026E1" w:rsidRPr="00F40A29" w:rsidRDefault="00C026E1" w:rsidP="00C026E1">
      <w:pPr>
        <w:pStyle w:val="NormalWeb"/>
        <w:spacing w:before="0" w:beforeAutospacing="0" w:after="0" w:afterAutospacing="0"/>
        <w:ind w:firstLine="720"/>
        <w:jc w:val="both"/>
        <w:rPr>
          <w:sz w:val="28"/>
          <w:szCs w:val="28"/>
          <w:lang w:val="sv-SE"/>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sv-SE"/>
        </w:rPr>
        <w:t xml:space="preserve">giải quyết thủ tục hành chính </w:t>
      </w:r>
      <w:r w:rsidRPr="00F40A29">
        <w:rPr>
          <w:sz w:val="28"/>
          <w:szCs w:val="28"/>
          <w:lang w:val="vi-VN"/>
        </w:rPr>
        <w:t xml:space="preserve">tại </w:t>
      </w:r>
      <w:r w:rsidRPr="00F40A29">
        <w:rPr>
          <w:sz w:val="28"/>
          <w:szCs w:val="28"/>
          <w:lang w:val="sv-SE"/>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sv-SE"/>
        </w:rPr>
        <w:t xml:space="preserve"> (Số 02A - Đường Nguyễn Chí Thanh - Thành phố Hà Tĩnh - Tỉnh Hà Tĩnh)</w:t>
      </w:r>
      <w:r w:rsidRPr="00F40A29">
        <w:rPr>
          <w:sz w:val="28"/>
          <w:szCs w:val="28"/>
          <w:lang w:val="vi-VN"/>
        </w:rPr>
        <w:t xml:space="preserve">. </w:t>
      </w:r>
    </w:p>
    <w:p w:rsidR="00C026E1" w:rsidRPr="00F40A29" w:rsidRDefault="00C026E1" w:rsidP="00C026E1">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sv-SE"/>
        </w:rPr>
        <w:t>chuyên môn</w:t>
      </w:r>
      <w:r w:rsidRPr="00F40A29">
        <w:rPr>
          <w:sz w:val="28"/>
          <w:szCs w:val="28"/>
          <w:lang w:val="vi-VN"/>
        </w:rPr>
        <w:t xml:space="preserve"> kiểm tra hồ sơ:</w:t>
      </w:r>
    </w:p>
    <w:p w:rsidR="00C026E1" w:rsidRPr="00F40A29" w:rsidRDefault="00C026E1" w:rsidP="00C026E1">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C026E1" w:rsidRPr="00F40A29" w:rsidRDefault="00C026E1" w:rsidP="00C026E1">
      <w:pPr>
        <w:pStyle w:val="BodyText"/>
        <w:spacing w:before="0" w:beforeAutospacing="0" w:after="0" w:afterAutospacing="0"/>
        <w:ind w:firstLine="720"/>
        <w:jc w:val="both"/>
        <w:rPr>
          <w:b/>
          <w:sz w:val="28"/>
          <w:szCs w:val="28"/>
          <w:lang w:val="vi-VN"/>
        </w:rPr>
      </w:pPr>
      <w:r w:rsidRPr="00F40A29">
        <w:rPr>
          <w:sz w:val="28"/>
          <w:szCs w:val="28"/>
          <w:lang w:val="vi-VN"/>
        </w:rPr>
        <w:t>+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 và yêu cầu nộp phí, lệ phí cho Trung tâm (nếu có)</w:t>
      </w:r>
      <w:r w:rsidRPr="00F40A29">
        <w:rPr>
          <w:sz w:val="28"/>
          <w:szCs w:val="28"/>
          <w:lang w:val="vi-VN"/>
        </w:rPr>
        <w:t>.</w:t>
      </w:r>
    </w:p>
    <w:p w:rsidR="00C026E1" w:rsidRPr="00F40A29" w:rsidRDefault="00C026E1" w:rsidP="00C026E1">
      <w:pPr>
        <w:pStyle w:val="BodyText"/>
        <w:spacing w:before="0" w:beforeAutospacing="0" w:after="0" w:afterAutospacing="0"/>
        <w:ind w:firstLine="720"/>
        <w:jc w:val="both"/>
        <w:rPr>
          <w:b/>
          <w:sz w:val="28"/>
          <w:szCs w:val="28"/>
        </w:rPr>
      </w:pPr>
      <w:r w:rsidRPr="00F40A29">
        <w:rPr>
          <w:sz w:val="28"/>
          <w:szCs w:val="28"/>
          <w:lang w:val="vi-VN"/>
        </w:rPr>
        <w:t xml:space="preserve">- Bước 2: </w:t>
      </w:r>
      <w:r w:rsidRPr="00F40A29">
        <w:rPr>
          <w:sz w:val="28"/>
          <w:szCs w:val="28"/>
        </w:rPr>
        <w:t>Cán bộ chuyên môn có trách nhiệm chuyển hồ sơ về Sở Tài nguyên và Môi trường (qua Phòng Đo đạc bản đồ và viễn thám)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C026E1" w:rsidRPr="00F40A29" w:rsidRDefault="00C026E1" w:rsidP="00C026E1">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w:t>
      </w:r>
      <w:r w:rsidRPr="00F40A29">
        <w:rPr>
          <w:sz w:val="28"/>
          <w:szCs w:val="28"/>
          <w:lang w:val="nl-NL"/>
        </w:rPr>
        <w:t>.</w:t>
      </w:r>
    </w:p>
    <w:bookmarkEnd w:id="0"/>
    <w:p w:rsidR="00C026E1" w:rsidRPr="00F40A29" w:rsidRDefault="00C026E1" w:rsidP="00C026E1">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C026E1" w:rsidRPr="00F40A29" w:rsidRDefault="00C026E1" w:rsidP="00C026E1">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w:t>
      </w:r>
      <w:r w:rsidRPr="00F40A29">
        <w:rPr>
          <w:sz w:val="28"/>
          <w:szCs w:val="28"/>
          <w:lang w:val="es-MX"/>
        </w:rPr>
        <w:t>.</w:t>
      </w:r>
    </w:p>
    <w:p w:rsidR="00C026E1" w:rsidRPr="00F40A29" w:rsidRDefault="00C026E1" w:rsidP="00C026E1">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3. Thành phần, số lượng hồ sơ:</w:t>
      </w:r>
    </w:p>
    <w:p w:rsidR="00C026E1" w:rsidRPr="00F40A29" w:rsidRDefault="00C026E1" w:rsidP="00C026E1">
      <w:pPr>
        <w:spacing w:before="120" w:line="240" w:lineRule="auto"/>
        <w:ind w:firstLine="720"/>
        <w:jc w:val="both"/>
        <w:rPr>
          <w:sz w:val="28"/>
          <w:szCs w:val="28"/>
        </w:rPr>
      </w:pPr>
      <w:r w:rsidRPr="00F40A29">
        <w:rPr>
          <w:sz w:val="28"/>
          <w:szCs w:val="28"/>
        </w:rPr>
        <w:t xml:space="preserve">a) Thành phần hồ sơ, bao gồm: </w:t>
      </w:r>
    </w:p>
    <w:p w:rsidR="00C026E1" w:rsidRPr="00F40A29" w:rsidRDefault="00C026E1" w:rsidP="00C026E1">
      <w:pPr>
        <w:spacing w:before="120" w:line="240" w:lineRule="auto"/>
        <w:ind w:firstLine="720"/>
        <w:jc w:val="both"/>
        <w:rPr>
          <w:sz w:val="28"/>
          <w:szCs w:val="28"/>
        </w:rPr>
      </w:pPr>
      <w:r w:rsidRPr="00F40A29">
        <w:rPr>
          <w:sz w:val="28"/>
          <w:szCs w:val="28"/>
        </w:rPr>
        <w:t>- Tờ trình của chủ đầu tư xin thẩm định nội dung, hạng mục công việc liên quan đến đo đạc và bản đồ;</w:t>
      </w:r>
    </w:p>
    <w:p w:rsidR="00C026E1" w:rsidRPr="00F40A29" w:rsidRDefault="00C026E1" w:rsidP="00C026E1">
      <w:pPr>
        <w:spacing w:before="120" w:line="240" w:lineRule="auto"/>
        <w:ind w:firstLine="720"/>
        <w:jc w:val="both"/>
        <w:rPr>
          <w:sz w:val="28"/>
          <w:szCs w:val="28"/>
        </w:rPr>
      </w:pPr>
      <w:r w:rsidRPr="00F40A29">
        <w:rPr>
          <w:sz w:val="28"/>
          <w:szCs w:val="28"/>
        </w:rPr>
        <w:t>- Bản sao kèm bản chính để đối chiếu hoặc bản sao có chứng thực về các văn bản chủ trương của cấp có thẩm quyền để triển khai thực hiện nhiệm vụ đo đạc và bản đồ;</w:t>
      </w:r>
    </w:p>
    <w:p w:rsidR="00C026E1" w:rsidRPr="00F40A29" w:rsidRDefault="00C026E1" w:rsidP="00C026E1">
      <w:pPr>
        <w:spacing w:before="120" w:line="240" w:lineRule="auto"/>
        <w:ind w:firstLine="720"/>
        <w:jc w:val="both"/>
        <w:rPr>
          <w:sz w:val="28"/>
          <w:szCs w:val="28"/>
          <w:lang w:val="sv-SE"/>
        </w:rPr>
      </w:pPr>
      <w:r w:rsidRPr="00F40A29">
        <w:rPr>
          <w:sz w:val="28"/>
          <w:szCs w:val="28"/>
        </w:rPr>
        <w:t xml:space="preserve">- Bản sao kèm bản chính để đối chiếu hoặc bản sao có chứng thực </w:t>
      </w:r>
      <w:r w:rsidRPr="00F40A29">
        <w:rPr>
          <w:sz w:val="28"/>
          <w:szCs w:val="28"/>
          <w:lang w:val="sv-SE"/>
        </w:rPr>
        <w:t>Giấy phép hoạt động đo đạc và bản đồ của tư vấn thẩm tra hoặc tư vấn lập thiết kế kỹ thuật dự toán hoặc tư vấn đo vẽ;</w:t>
      </w:r>
    </w:p>
    <w:p w:rsidR="00C026E1" w:rsidRPr="00F40A29" w:rsidRDefault="00C026E1" w:rsidP="00C026E1">
      <w:pPr>
        <w:spacing w:before="120" w:line="240" w:lineRule="auto"/>
        <w:ind w:firstLine="720"/>
        <w:jc w:val="both"/>
        <w:rPr>
          <w:b/>
          <w:sz w:val="28"/>
          <w:szCs w:val="28"/>
          <w:lang w:val="sv-SE"/>
        </w:rPr>
      </w:pPr>
      <w:r w:rsidRPr="00F40A29">
        <w:rPr>
          <w:b/>
          <w:sz w:val="28"/>
          <w:szCs w:val="28"/>
          <w:lang w:val="sv-SE"/>
        </w:rPr>
        <w:t>- Sản phẩm đề nghị thẩm định (dạng số và dạng giấy):</w:t>
      </w:r>
    </w:p>
    <w:p w:rsidR="00C026E1" w:rsidRPr="00F40A29" w:rsidRDefault="00C026E1" w:rsidP="00C026E1">
      <w:pPr>
        <w:ind w:firstLine="720"/>
        <w:jc w:val="both"/>
        <w:rPr>
          <w:b/>
          <w:i/>
          <w:sz w:val="28"/>
          <w:szCs w:val="28"/>
          <w:lang w:val="sv-SE"/>
        </w:rPr>
      </w:pPr>
      <w:r w:rsidRPr="00F40A29">
        <w:rPr>
          <w:b/>
          <w:i/>
          <w:sz w:val="28"/>
          <w:szCs w:val="28"/>
          <w:lang w:val="sv-SE"/>
        </w:rPr>
        <w:t xml:space="preserve">+ Đối với thẩm định Thiết kế kỹ thuật dự toán: </w:t>
      </w:r>
    </w:p>
    <w:p w:rsidR="00C026E1" w:rsidRPr="00F40A29" w:rsidRDefault="00C026E1" w:rsidP="00C026E1">
      <w:pPr>
        <w:ind w:firstLine="720"/>
        <w:jc w:val="both"/>
        <w:rPr>
          <w:sz w:val="28"/>
          <w:szCs w:val="28"/>
          <w:lang w:val="sv-SE"/>
        </w:rPr>
      </w:pPr>
      <w:r w:rsidRPr="00F40A29">
        <w:rPr>
          <w:sz w:val="28"/>
          <w:szCs w:val="28"/>
          <w:lang w:val="sv-SE"/>
        </w:rPr>
        <w:t>Dự án hoặc thiết kế kỹ thuật- dự toán đề nghị thẩm định (nếu thiết kế kỹ thuật- dự toán là một hạng mục của dự án khác thì phải có bản dự án đó kèm theo văn bản phê duyệt của cấp có thẩm quyền)</w:t>
      </w:r>
    </w:p>
    <w:p w:rsidR="00C026E1" w:rsidRPr="00F40A29" w:rsidRDefault="00C026E1" w:rsidP="00C026E1">
      <w:pPr>
        <w:ind w:firstLine="720"/>
        <w:jc w:val="both"/>
        <w:rPr>
          <w:b/>
          <w:i/>
          <w:sz w:val="28"/>
          <w:szCs w:val="28"/>
          <w:lang w:val="sv-SE"/>
        </w:rPr>
      </w:pPr>
      <w:r w:rsidRPr="00F40A29">
        <w:rPr>
          <w:b/>
          <w:i/>
          <w:sz w:val="28"/>
          <w:szCs w:val="28"/>
          <w:lang w:val="sv-SE"/>
        </w:rPr>
        <w:t>+ Đối với Công trình đo đạc và bản đồ:</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lastRenderedPageBreak/>
        <w:t>Dự án hoặc thiết kế kỹ thuật - dự toán đã được cấp có thẩm quyền phê duyệt; hồ sơ kiểm tra, thẩm tra chất lượng sản phẩm của đơn vị tư vấn lập (nếu có) - theo Thông tư số 63/2015/TT-BTNMT ngày 21/12/2015 hoặc Thông tư số 49/2016/TT-BTNMT ngày 28/12/2016 của Bộ Tài nguyên và Môi trường hoặc các quy định của Bộ ngành chủ quản khi đề nghị thẩm định chất lượng công trình sản phẩm đo đạc và bản đồ.</w:t>
      </w:r>
    </w:p>
    <w:p w:rsidR="00C026E1" w:rsidRPr="00F40A29" w:rsidRDefault="00C026E1" w:rsidP="00C026E1">
      <w:pPr>
        <w:spacing w:line="360" w:lineRule="exact"/>
        <w:ind w:firstLine="720"/>
        <w:jc w:val="both"/>
        <w:rPr>
          <w:sz w:val="28"/>
          <w:szCs w:val="28"/>
          <w:lang w:val="sv-SE"/>
        </w:rPr>
      </w:pPr>
      <w:r w:rsidRPr="00F40A29">
        <w:rPr>
          <w:sz w:val="28"/>
          <w:szCs w:val="28"/>
          <w:lang w:val="sv-SE"/>
        </w:rPr>
        <w:t>b) Số lượng hồ sơ: 02 (bộ); Số lượng sản phẩm: theo Thiết kế kỹ thuật dự toán.</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4. Thời hạn giải quyết: Không quá 07 ngày làm việc kể từ ngày nhận được hồ sơ hợp lệ.</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 xml:space="preserve">5. Đối tượng thực hiện thủ tục hành chính: Tổ chức, cá nhân.                                                              </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6. Cơ quan thực hiện thủ tục hành chính: Sở TN và MT tỉnh Hà Tĩnh.</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7. Kết quả thực hiện thủ tục hành chính:Văn bản thẩm định và xác nhận lên sản phẩm (nếu sản phẩm đạt chất lượng). Khi chất lượng sản phẩm không đạt yêu cầu thì có công văn trả lời nêu rõ lý do để tổ chức, cá nhân được biết.</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8. Phí, lệ phí: Không.</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9. Tên mẫu đơn, mẫu tờ khai: Không.</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10. Yêu cầu, điều kiện thực hiện thủ tục hành chính: Khi cần thiết tổ chức, cá nhân phải trực tiếp phòng chuyên môn giải trình về sản phẩm và phối hợp phòng chuyên môn thẩm định thực địa</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 xml:space="preserve">11. Căn cứ pháp lý của thủ tục hành chính: </w:t>
      </w:r>
    </w:p>
    <w:p w:rsidR="00C026E1" w:rsidRPr="00F40A29" w:rsidRDefault="00C026E1" w:rsidP="00C026E1">
      <w:pPr>
        <w:spacing w:before="120" w:line="240" w:lineRule="auto"/>
        <w:ind w:firstLine="720"/>
        <w:jc w:val="both"/>
        <w:rPr>
          <w:sz w:val="28"/>
          <w:szCs w:val="28"/>
          <w:lang w:val="sv-SE"/>
        </w:rPr>
      </w:pPr>
      <w:r w:rsidRPr="00F40A29">
        <w:rPr>
          <w:sz w:val="28"/>
          <w:szCs w:val="28"/>
          <w:lang w:val="sv-SE"/>
        </w:rPr>
        <w:t>- Nghị định số 45/2015/NĐ-CP ngày 06/5/2015 của Chính phủ về hoạt động đo đạc bản đồ.</w:t>
      </w:r>
    </w:p>
    <w:p w:rsidR="00C026E1" w:rsidRPr="00F40A29" w:rsidRDefault="00C026E1" w:rsidP="00C026E1">
      <w:pPr>
        <w:pStyle w:val="Heading1"/>
        <w:spacing w:before="0"/>
        <w:ind w:firstLine="720"/>
        <w:rPr>
          <w:rStyle w:val="sw-name"/>
          <w:rFonts w:ascii="Times New Roman" w:hAnsi="Times New Roman"/>
          <w:b w:val="0"/>
          <w:color w:val="auto"/>
          <w:bdr w:val="none" w:sz="0" w:space="0" w:color="auto" w:frame="1"/>
          <w:lang w:val="sv-SE"/>
        </w:rPr>
      </w:pPr>
      <w:r w:rsidRPr="00F40A29">
        <w:rPr>
          <w:rStyle w:val="sw-name"/>
          <w:rFonts w:ascii="Times New Roman" w:hAnsi="Times New Roman"/>
          <w:b w:val="0"/>
          <w:color w:val="auto"/>
          <w:bdr w:val="none" w:sz="0" w:space="0" w:color="auto" w:frame="1"/>
        </w:rPr>
        <w:t xml:space="preserve">- Thông tư </w:t>
      </w:r>
      <w:r w:rsidRPr="00F40A29">
        <w:rPr>
          <w:rStyle w:val="sw-name"/>
          <w:rFonts w:ascii="Times New Roman" w:hAnsi="Times New Roman"/>
          <w:b w:val="0"/>
          <w:color w:val="auto"/>
          <w:bdr w:val="none" w:sz="0" w:space="0" w:color="auto" w:frame="1"/>
          <w:lang w:val="sv-SE"/>
        </w:rPr>
        <w:t xml:space="preserve">số </w:t>
      </w:r>
      <w:r w:rsidRPr="00F40A29">
        <w:rPr>
          <w:rStyle w:val="sw-name"/>
          <w:rFonts w:ascii="Times New Roman" w:hAnsi="Times New Roman"/>
          <w:b w:val="0"/>
          <w:color w:val="auto"/>
          <w:bdr w:val="none" w:sz="0" w:space="0" w:color="auto" w:frame="1"/>
        </w:rPr>
        <w:t>63/2015/TT-BTNMT ngày 21/12/2015 của Bộ Tài nguyên và Môi trường về quy định kiểm tra, thẩm định và nghiệm thu chất lượng công trình;</w:t>
      </w:r>
    </w:p>
    <w:p w:rsidR="00C026E1" w:rsidRPr="00F40A29" w:rsidRDefault="00C026E1" w:rsidP="00C026E1">
      <w:pPr>
        <w:pStyle w:val="Heading1"/>
        <w:spacing w:before="0"/>
        <w:ind w:firstLine="720"/>
        <w:rPr>
          <w:rFonts w:ascii="Times New Roman" w:hAnsi="Times New Roman"/>
          <w:b w:val="0"/>
          <w:color w:val="auto"/>
          <w:lang w:val="sv-SE"/>
        </w:rPr>
      </w:pPr>
      <w:r w:rsidRPr="00F40A29">
        <w:rPr>
          <w:rFonts w:ascii="Times New Roman" w:hAnsi="Times New Roman"/>
          <w:b w:val="0"/>
          <w:color w:val="auto"/>
          <w:lang w:val="sv-SE"/>
        </w:rPr>
        <w:t xml:space="preserve">- Quyết định số 12/2017/QĐ-UBND ngày 10/4/2017 của UBND tỉnh </w:t>
      </w:r>
      <w:hyperlink r:id="rId9" w:history="1">
        <w:r w:rsidRPr="00F40A29">
          <w:rPr>
            <w:rFonts w:ascii="Times New Roman" w:hAnsi="Times New Roman"/>
            <w:b w:val="0"/>
            <w:color w:val="auto"/>
            <w:lang w:val="sv-SE"/>
          </w:rPr>
          <w:t>về việc ban hành Quy định về hoạt động Đo đạc, Bản đồ và Viễn thám trên địa bàn tỉnh Hà Tĩnh</w:t>
        </w:r>
      </w:hyperlink>
      <w:r w:rsidRPr="00F40A29">
        <w:rPr>
          <w:rFonts w:ascii="Times New Roman" w:hAnsi="Times New Roman"/>
          <w:b w:val="0"/>
          <w:color w:val="auto"/>
          <w:lang w:val="sv-SE"/>
        </w:rPr>
        <w:t>.</w:t>
      </w:r>
    </w:p>
    <w:p w:rsidR="00C026E1" w:rsidRPr="00F40A29" w:rsidRDefault="00C026E1" w:rsidP="00C026E1">
      <w:pPr>
        <w:rPr>
          <w:sz w:val="28"/>
          <w:szCs w:val="28"/>
          <w:lang w:val="sv-SE"/>
        </w:rPr>
      </w:pPr>
    </w:p>
    <w:p w:rsidR="00885BCF" w:rsidRPr="00C026E1" w:rsidRDefault="00885BCF" w:rsidP="00C026E1"/>
    <w:sectPr w:rsidR="00885BCF" w:rsidRPr="00C026E1" w:rsidSect="001236F4">
      <w:footerReference w:type="default" r:id="rId10"/>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D8" w:rsidRDefault="00511FD8" w:rsidP="00AC50BF">
      <w:pPr>
        <w:spacing w:before="0" w:after="0" w:line="240" w:lineRule="auto"/>
      </w:pPr>
      <w:r>
        <w:separator/>
      </w:r>
    </w:p>
  </w:endnote>
  <w:endnote w:type="continuationSeparator" w:id="0">
    <w:p w:rsidR="00511FD8" w:rsidRDefault="00511FD8"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C026E1">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D8" w:rsidRDefault="00511FD8" w:rsidP="00AC50BF">
      <w:pPr>
        <w:spacing w:before="0" w:after="0" w:line="240" w:lineRule="auto"/>
      </w:pPr>
      <w:r>
        <w:separator/>
      </w:r>
    </w:p>
  </w:footnote>
  <w:footnote w:type="continuationSeparator" w:id="0">
    <w:p w:rsidR="00511FD8" w:rsidRDefault="00511FD8"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178E"/>
    <w:rsid w:val="00221900"/>
    <w:rsid w:val="00221A9A"/>
    <w:rsid w:val="0022295C"/>
    <w:rsid w:val="00231D01"/>
    <w:rsid w:val="002425CA"/>
    <w:rsid w:val="002450C6"/>
    <w:rsid w:val="00247BCE"/>
    <w:rsid w:val="002529B4"/>
    <w:rsid w:val="00252E1D"/>
    <w:rsid w:val="00256BD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1FD8"/>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96302"/>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C1B"/>
    <w:rsid w:val="00D77FC3"/>
    <w:rsid w:val="00D914DF"/>
    <w:rsid w:val="00D977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qppl.hatinh.gov.vn/vbpq_hatinh.nsf/a14f6330b18a0d4647257226000f58a3/2da781e3ca04e774472580ff00021dcf?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8D98-DF16-41B6-8E02-65FD2BF4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2017-07-12T09:15:00Z</dcterms:created>
  <dcterms:modified xsi:type="dcterms:W3CDTF">2017-07-12T09:16:00Z</dcterms:modified>
</cp:coreProperties>
</file>