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A8" w:rsidRPr="00F40A29" w:rsidRDefault="00576EA8" w:rsidP="00576EA8">
      <w:pPr>
        <w:spacing w:line="360" w:lineRule="exact"/>
        <w:rPr>
          <w:b/>
          <w:sz w:val="28"/>
          <w:szCs w:val="28"/>
          <w:lang w:val="pl-PL"/>
        </w:rPr>
      </w:pPr>
      <w:r w:rsidRPr="00F40A29">
        <w:rPr>
          <w:b/>
          <w:sz w:val="28"/>
          <w:szCs w:val="28"/>
          <w:lang w:val="pl-PL"/>
        </w:rPr>
        <w:t>14. Chuyển nhượng quyền khai thác tài nguyên nước</w:t>
      </w:r>
    </w:p>
    <w:p w:rsidR="00576EA8" w:rsidRPr="00F40A29" w:rsidRDefault="00576EA8" w:rsidP="00576EA8">
      <w:pPr>
        <w:spacing w:line="340" w:lineRule="exact"/>
        <w:ind w:firstLine="720"/>
        <w:jc w:val="both"/>
        <w:rPr>
          <w:sz w:val="28"/>
          <w:szCs w:val="28"/>
          <w:lang w:val="de-DE"/>
        </w:rPr>
      </w:pPr>
      <w:bookmarkStart w:id="0" w:name="_GoBack"/>
      <w:r w:rsidRPr="00F40A29">
        <w:rPr>
          <w:sz w:val="28"/>
          <w:szCs w:val="28"/>
          <w:lang w:val="de-DE"/>
        </w:rPr>
        <w:t>1. Trình tự thực hiện:</w:t>
      </w:r>
    </w:p>
    <w:p w:rsidR="00576EA8" w:rsidRPr="00F40A29" w:rsidRDefault="00576EA8" w:rsidP="00576EA8">
      <w:pPr>
        <w:spacing w:line="340" w:lineRule="exact"/>
        <w:ind w:firstLine="720"/>
        <w:jc w:val="both"/>
        <w:rPr>
          <w:rFonts w:eastAsia="Times New Roman"/>
          <w:sz w:val="28"/>
          <w:szCs w:val="28"/>
          <w:lang w:val="pl-PL"/>
        </w:rPr>
      </w:pPr>
      <w:r w:rsidRPr="00F40A29">
        <w:rPr>
          <w:rFonts w:eastAsia="Times New Roman"/>
          <w:sz w:val="28"/>
          <w:szCs w:val="28"/>
          <w:lang w:val="vi-VN"/>
        </w:rPr>
        <w:t xml:space="preserve">- Bước 1: </w:t>
      </w:r>
      <w:r w:rsidRPr="00F40A29">
        <w:rPr>
          <w:rFonts w:eastAsia="Times New Roman"/>
          <w:sz w:val="28"/>
          <w:szCs w:val="28"/>
          <w:lang w:val="nl-NL"/>
        </w:rPr>
        <w:t xml:space="preserve">Tổ chức, cá nhân đề nghị cấp phép </w:t>
      </w:r>
      <w:r w:rsidRPr="00F40A29">
        <w:rPr>
          <w:rFonts w:eastAsia="Times New Roman"/>
          <w:sz w:val="28"/>
          <w:szCs w:val="28"/>
          <w:lang w:val="vi-VN"/>
        </w:rPr>
        <w:t xml:space="preserve">nộp hồ sơ </w:t>
      </w:r>
      <w:r w:rsidRPr="00F40A29">
        <w:rPr>
          <w:rFonts w:eastAsia="Times New Roman"/>
          <w:sz w:val="28"/>
          <w:szCs w:val="28"/>
          <w:lang w:val="pl-PL"/>
        </w:rPr>
        <w:t xml:space="preserve">giải quyết thủ tục hành chính </w:t>
      </w:r>
      <w:r w:rsidRPr="00F40A29">
        <w:rPr>
          <w:rFonts w:eastAsia="Times New Roman"/>
          <w:sz w:val="28"/>
          <w:szCs w:val="28"/>
          <w:lang w:val="vi-VN"/>
        </w:rPr>
        <w:t xml:space="preserve">tại </w:t>
      </w:r>
      <w:r w:rsidRPr="00F40A29">
        <w:rPr>
          <w:rFonts w:eastAsia="Times New Roman"/>
          <w:sz w:val="28"/>
          <w:szCs w:val="28"/>
          <w:lang w:val="pl-PL"/>
        </w:rPr>
        <w:t>Trung tâm Hành chính công</w:t>
      </w:r>
      <w:r w:rsidRPr="00F40A29">
        <w:rPr>
          <w:rFonts w:eastAsia="Times New Roman"/>
          <w:sz w:val="28"/>
          <w:szCs w:val="28"/>
          <w:lang w:val="vi-VN"/>
        </w:rPr>
        <w:t xml:space="preserve"> </w:t>
      </w:r>
      <w:r w:rsidRPr="00F40A29">
        <w:rPr>
          <w:rFonts w:eastAsia="Times New Roman"/>
          <w:sz w:val="28"/>
          <w:szCs w:val="28"/>
          <w:lang w:val="nl-NL"/>
        </w:rPr>
        <w:t xml:space="preserve">tỉnh </w:t>
      </w:r>
      <w:r w:rsidRPr="00F40A29">
        <w:rPr>
          <w:rFonts w:eastAsia="Times New Roman"/>
          <w:sz w:val="28"/>
          <w:szCs w:val="28"/>
          <w:lang w:val="vi-VN"/>
        </w:rPr>
        <w:t>Hà Tĩnh</w:t>
      </w:r>
      <w:r w:rsidRPr="00F40A29">
        <w:rPr>
          <w:rFonts w:eastAsia="Times New Roman"/>
          <w:sz w:val="28"/>
          <w:szCs w:val="28"/>
          <w:lang w:val="pl-PL"/>
        </w:rPr>
        <w:t xml:space="preserve"> (Số 02A - Đường Nguyễn Chí Thanh - Thành phố Hà Tĩnh - Tỉnh Hà Tĩnh)</w:t>
      </w:r>
      <w:r w:rsidRPr="00F40A29">
        <w:rPr>
          <w:rFonts w:eastAsia="Times New Roman"/>
          <w:sz w:val="28"/>
          <w:szCs w:val="28"/>
          <w:lang w:val="vi-VN"/>
        </w:rPr>
        <w:t xml:space="preserve">. </w:t>
      </w:r>
    </w:p>
    <w:p w:rsidR="00576EA8" w:rsidRPr="00F40A29" w:rsidRDefault="00576EA8" w:rsidP="00576EA8">
      <w:pPr>
        <w:spacing w:line="340" w:lineRule="exact"/>
        <w:ind w:firstLine="720"/>
        <w:jc w:val="both"/>
        <w:rPr>
          <w:rFonts w:eastAsia="Times New Roman"/>
          <w:sz w:val="28"/>
          <w:szCs w:val="28"/>
          <w:lang w:val="vi-VN"/>
        </w:rPr>
      </w:pPr>
      <w:r w:rsidRPr="00F40A29">
        <w:rPr>
          <w:rFonts w:eastAsia="Times New Roman"/>
          <w:sz w:val="28"/>
          <w:szCs w:val="28"/>
          <w:lang w:val="vi-VN"/>
        </w:rPr>
        <w:t xml:space="preserve">Cán bộ </w:t>
      </w:r>
      <w:r w:rsidRPr="00F40A29">
        <w:rPr>
          <w:rFonts w:eastAsia="Times New Roman"/>
          <w:sz w:val="28"/>
          <w:szCs w:val="28"/>
          <w:lang w:val="pl-PL"/>
        </w:rPr>
        <w:t>chuyên môn</w:t>
      </w:r>
      <w:r w:rsidRPr="00F40A29">
        <w:rPr>
          <w:rFonts w:eastAsia="Times New Roman"/>
          <w:sz w:val="28"/>
          <w:szCs w:val="28"/>
          <w:lang w:val="vi-VN"/>
        </w:rPr>
        <w:t xml:space="preserve"> kiểm tra hồ sơ:</w:t>
      </w:r>
    </w:p>
    <w:p w:rsidR="00576EA8" w:rsidRPr="00F40A29" w:rsidRDefault="00576EA8" w:rsidP="00576EA8">
      <w:pPr>
        <w:spacing w:line="340" w:lineRule="exact"/>
        <w:ind w:firstLine="720"/>
        <w:jc w:val="both"/>
        <w:rPr>
          <w:b/>
          <w:sz w:val="28"/>
          <w:szCs w:val="28"/>
          <w:lang w:val="vi-VN"/>
        </w:rPr>
      </w:pPr>
      <w:r w:rsidRPr="00F40A29">
        <w:rPr>
          <w:sz w:val="28"/>
          <w:szCs w:val="28"/>
          <w:lang w:val="vi-VN"/>
        </w:rPr>
        <w:t xml:space="preserve">+ Nếu hồ sơ chưa đầy đủ hoặc không hợp lệ: Cán bộ chuyên môn hướng dẫn bổ sung, hoàn thiện hồ sơ theo quy định. </w:t>
      </w:r>
    </w:p>
    <w:p w:rsidR="00576EA8" w:rsidRPr="00F40A29" w:rsidRDefault="00576EA8" w:rsidP="00576EA8">
      <w:pPr>
        <w:spacing w:line="340" w:lineRule="exact"/>
        <w:ind w:firstLine="720"/>
        <w:jc w:val="both"/>
        <w:rPr>
          <w:b/>
          <w:sz w:val="28"/>
          <w:szCs w:val="28"/>
          <w:lang w:val="vi-VN"/>
        </w:rPr>
      </w:pPr>
      <w:r w:rsidRPr="00F40A29">
        <w:rPr>
          <w:sz w:val="28"/>
          <w:szCs w:val="28"/>
          <w:lang w:val="vi-VN"/>
        </w:rPr>
        <w:t>+ Nếu hồ sơ đầy đủ, hợp lệ: Làm thủ tục tiếp nhận hồ sơ, hẹn trả kết quả cho tổ chức, cá nhân.</w:t>
      </w:r>
    </w:p>
    <w:p w:rsidR="00576EA8" w:rsidRPr="00F40A29" w:rsidRDefault="00576EA8" w:rsidP="00576EA8">
      <w:pPr>
        <w:spacing w:line="340" w:lineRule="exact"/>
        <w:ind w:firstLine="720"/>
        <w:jc w:val="both"/>
        <w:rPr>
          <w:b/>
          <w:sz w:val="28"/>
          <w:szCs w:val="28"/>
          <w:lang w:val="vi-VN"/>
        </w:rPr>
      </w:pPr>
      <w:r w:rsidRPr="00F40A29">
        <w:rPr>
          <w:sz w:val="28"/>
          <w:szCs w:val="28"/>
          <w:lang w:val="vi-VN"/>
        </w:rPr>
        <w:t>- Bước 2: Cán bộ chuyên môn có trách nhiệm chuyển hồ sơ về Sở Tài nguyên và Môi trường (qua Chi cục Biển, Hải đảo và Tài nguyên nước)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576EA8" w:rsidRPr="00F40A29" w:rsidRDefault="00576EA8" w:rsidP="00576EA8">
      <w:pPr>
        <w:tabs>
          <w:tab w:val="left" w:pos="600"/>
        </w:tabs>
        <w:spacing w:line="340" w:lineRule="exact"/>
        <w:ind w:firstLine="720"/>
        <w:jc w:val="both"/>
        <w:rPr>
          <w:sz w:val="28"/>
          <w:szCs w:val="28"/>
          <w:lang w:val="vi-VN"/>
        </w:rPr>
      </w:pPr>
      <w:r w:rsidRPr="00F40A29">
        <w:rPr>
          <w:sz w:val="28"/>
          <w:szCs w:val="28"/>
          <w:lang w:val="vi-VN"/>
        </w:rPr>
        <w:t>- Bước 3: Đến hẹn, Trung tâm Hành chính công tỉnh trả kết quả giải quyết thủ tục hành chính, thông báo nộp phí thẩm định hồ sơ cho tổ chức, cá nhân</w:t>
      </w:r>
      <w:r w:rsidRPr="00F40A29">
        <w:rPr>
          <w:sz w:val="28"/>
          <w:szCs w:val="28"/>
          <w:lang w:val="nl-NL"/>
        </w:rPr>
        <w:t xml:space="preserve">. </w:t>
      </w:r>
      <w:bookmarkEnd w:id="0"/>
      <w:r w:rsidRPr="00F40A29">
        <w:rPr>
          <w:sz w:val="28"/>
          <w:szCs w:val="28"/>
          <w:lang w:val="nl-NL"/>
        </w:rPr>
        <w:t>.</w:t>
      </w:r>
    </w:p>
    <w:p w:rsidR="00576EA8" w:rsidRPr="00F40A29" w:rsidRDefault="00576EA8" w:rsidP="00576EA8">
      <w:pPr>
        <w:spacing w:line="340" w:lineRule="exact"/>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576EA8" w:rsidRPr="00F40A29" w:rsidRDefault="00576EA8" w:rsidP="00576EA8">
      <w:pPr>
        <w:tabs>
          <w:tab w:val="left" w:pos="600"/>
        </w:tabs>
        <w:spacing w:line="340" w:lineRule="exact"/>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r w:rsidRPr="00F40A29">
        <w:rPr>
          <w:sz w:val="28"/>
          <w:szCs w:val="28"/>
          <w:lang w:val="es-MX"/>
        </w:rPr>
        <w:t>.</w:t>
      </w:r>
    </w:p>
    <w:p w:rsidR="00576EA8" w:rsidRPr="00F40A29" w:rsidRDefault="00576EA8" w:rsidP="00576EA8">
      <w:pPr>
        <w:spacing w:line="340" w:lineRule="exact"/>
        <w:ind w:firstLine="720"/>
        <w:jc w:val="both"/>
        <w:rPr>
          <w:rFonts w:eastAsia="Times New Roman"/>
          <w:sz w:val="28"/>
          <w:szCs w:val="28"/>
          <w:lang w:val="es-MX"/>
        </w:rPr>
      </w:pPr>
      <w:r w:rsidRPr="00F40A29">
        <w:rPr>
          <w:rFonts w:eastAsia="Times New Roman"/>
          <w:sz w:val="28"/>
          <w:szCs w:val="28"/>
          <w:lang w:val="es-MX"/>
        </w:rPr>
        <w:t>- Thời gian tiếp nhận hồ sơ: Giờ hành chính tất cả các ngày làm việc trong tuần.</w:t>
      </w:r>
    </w:p>
    <w:p w:rsidR="00576EA8" w:rsidRPr="00F40A29" w:rsidRDefault="00576EA8" w:rsidP="00576EA8">
      <w:pPr>
        <w:spacing w:before="120" w:line="340" w:lineRule="exact"/>
        <w:jc w:val="both"/>
        <w:rPr>
          <w:rStyle w:val="Emphasis"/>
          <w:bCs/>
          <w:i w:val="0"/>
          <w:sz w:val="28"/>
          <w:szCs w:val="28"/>
          <w:bdr w:val="none" w:sz="0" w:space="0" w:color="auto" w:frame="1"/>
          <w:lang w:val="es-MX"/>
        </w:rPr>
      </w:pPr>
      <w:r w:rsidRPr="00F40A29">
        <w:rPr>
          <w:rStyle w:val="Emphasis"/>
          <w:bCs/>
          <w:i w:val="0"/>
          <w:sz w:val="28"/>
          <w:szCs w:val="28"/>
          <w:bdr w:val="none" w:sz="0" w:space="0" w:color="auto" w:frame="1"/>
          <w:lang w:val="es-MX"/>
        </w:rPr>
        <w:tab/>
        <w:t>3. Thành phần hồ sơ:</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a) Thành phần hồ sơ, bao gồm:</w:t>
      </w:r>
      <w:r w:rsidRPr="00F40A29">
        <w:rPr>
          <w:sz w:val="28"/>
          <w:szCs w:val="28"/>
          <w:shd w:val="clear" w:color="auto" w:fill="FFFFFF"/>
          <w:lang w:val="es-MX"/>
        </w:rPr>
        <w:tab/>
      </w:r>
    </w:p>
    <w:p w:rsidR="00576EA8" w:rsidRPr="00F40A29" w:rsidRDefault="00576EA8" w:rsidP="00576EA8">
      <w:pPr>
        <w:spacing w:before="120" w:line="340" w:lineRule="exact"/>
        <w:ind w:firstLine="720"/>
        <w:jc w:val="both"/>
        <w:rPr>
          <w:sz w:val="28"/>
          <w:szCs w:val="28"/>
          <w:shd w:val="clear" w:color="auto" w:fill="FFFFFF"/>
          <w:lang w:val="es-MX"/>
        </w:rPr>
      </w:pPr>
      <w:r w:rsidRPr="00F40A29">
        <w:rPr>
          <w:sz w:val="28"/>
          <w:szCs w:val="28"/>
          <w:shd w:val="clear" w:color="auto" w:fill="FFFFFF"/>
          <w:lang w:val="es-MX"/>
        </w:rPr>
        <w:t>- Đơn đề nghị chuyển nhượng quyền khai thác tài nguyên nước;</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Hợp đồng chuyển nhượng quyền khai thác tài nguyên nước;</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Báo cáo kết quả khai thác tài nguyên nước và việc thực hiện các nghĩa vụ đến thời điểm đề nghị chuyển nhượng quyền khai thác tài nguyên nước;</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Bản sao (chứng thực) giấy chứng nhận đăng ký kinh doanh của tổ chức, cá nhân nhận chuyển nhượng quyền khai thác tài nguyên nước; trường hợp bên nhận chuyển nhượng là doanh nghiệp nước ngoài còn phải có bản sao (chứng thực) quyết định thành lập văn phòng đại diện, chi nhánh tại Việt Nam.</w:t>
      </w:r>
    </w:p>
    <w:p w:rsidR="00576EA8" w:rsidRPr="00F40A29" w:rsidRDefault="00576EA8" w:rsidP="00576EA8">
      <w:pPr>
        <w:spacing w:before="120" w:line="340" w:lineRule="exact"/>
        <w:jc w:val="both"/>
        <w:rPr>
          <w:sz w:val="28"/>
          <w:szCs w:val="28"/>
          <w:shd w:val="clear" w:color="auto" w:fill="FFFFFF"/>
          <w:lang w:val="es-MX"/>
        </w:rPr>
      </w:pPr>
      <w:r w:rsidRPr="00F40A29">
        <w:rPr>
          <w:rStyle w:val="Emphasis"/>
          <w:bCs/>
          <w:i w:val="0"/>
          <w:sz w:val="28"/>
          <w:szCs w:val="28"/>
          <w:bdr w:val="none" w:sz="0" w:space="0" w:color="auto" w:frame="1"/>
          <w:lang w:val="es-MX"/>
        </w:rPr>
        <w:tab/>
        <w:t>b. Số lượng hồ sơ:</w:t>
      </w:r>
      <w:r w:rsidRPr="00F40A29">
        <w:rPr>
          <w:rStyle w:val="apple-converted-space"/>
          <w:bCs/>
          <w:iCs/>
          <w:sz w:val="28"/>
          <w:szCs w:val="28"/>
          <w:bdr w:val="none" w:sz="0" w:space="0" w:color="auto" w:frame="1"/>
          <w:lang w:val="es-MX"/>
        </w:rPr>
        <w:t> </w:t>
      </w:r>
      <w:r w:rsidRPr="00F40A29">
        <w:rPr>
          <w:sz w:val="28"/>
          <w:szCs w:val="28"/>
          <w:shd w:val="clear" w:color="auto" w:fill="FFFFFF"/>
          <w:lang w:val="es-MX"/>
        </w:rPr>
        <w:t>02 (bộ).</w:t>
      </w:r>
    </w:p>
    <w:p w:rsidR="00576EA8" w:rsidRPr="00F40A29" w:rsidRDefault="00576EA8" w:rsidP="00576EA8">
      <w:pPr>
        <w:adjustRightInd w:val="0"/>
        <w:spacing w:before="120"/>
        <w:ind w:firstLine="720"/>
        <w:jc w:val="both"/>
        <w:rPr>
          <w:sz w:val="28"/>
          <w:szCs w:val="28"/>
          <w:lang w:val="es-MX"/>
        </w:rPr>
      </w:pPr>
      <w:r w:rsidRPr="00F40A29">
        <w:rPr>
          <w:rStyle w:val="Emphasis"/>
          <w:bCs/>
          <w:i w:val="0"/>
          <w:sz w:val="28"/>
          <w:szCs w:val="28"/>
          <w:bdr w:val="none" w:sz="0" w:space="0" w:color="auto" w:frame="1"/>
          <w:lang w:val="es-MX"/>
        </w:rPr>
        <w:t xml:space="preserve">4. Thời hạn giải quyết: 25 </w:t>
      </w:r>
      <w:r w:rsidRPr="00F40A29">
        <w:rPr>
          <w:sz w:val="28"/>
          <w:szCs w:val="28"/>
          <w:lang w:val="es-MX"/>
        </w:rPr>
        <w:t>ngày làm việc, kể từ ngày nhận đủ hồ sơ hợp lệ</w:t>
      </w:r>
    </w:p>
    <w:p w:rsidR="00576EA8" w:rsidRPr="00F40A29" w:rsidRDefault="00576EA8" w:rsidP="00576EA8">
      <w:pPr>
        <w:adjustRightInd w:val="0"/>
        <w:ind w:firstLine="720"/>
        <w:jc w:val="both"/>
        <w:rPr>
          <w:sz w:val="28"/>
          <w:szCs w:val="28"/>
          <w:lang w:val="es-MX"/>
        </w:rPr>
      </w:pPr>
      <w:r w:rsidRPr="00F40A29">
        <w:rPr>
          <w:sz w:val="28"/>
          <w:szCs w:val="28"/>
          <w:lang w:val="es-MX"/>
        </w:rPr>
        <w:t>+ Thời hạn thẩm định của Sở Tài nguyên và Môi trường: tối đa 20 ngày làm việc;</w:t>
      </w:r>
    </w:p>
    <w:p w:rsidR="00576EA8" w:rsidRPr="00F40A29" w:rsidRDefault="00576EA8" w:rsidP="00576EA8">
      <w:pPr>
        <w:adjustRightInd w:val="0"/>
        <w:ind w:firstLine="720"/>
        <w:jc w:val="both"/>
        <w:rPr>
          <w:sz w:val="28"/>
          <w:szCs w:val="28"/>
          <w:lang w:val="es-MX"/>
        </w:rPr>
      </w:pPr>
      <w:r w:rsidRPr="00F40A29">
        <w:rPr>
          <w:sz w:val="28"/>
          <w:szCs w:val="28"/>
          <w:lang w:val="es-MX"/>
        </w:rPr>
        <w:t>+ Thời hạn thẩm định của Ủy ban nhân dân tỉnh: tối đa 05 ngày làm việc.</w:t>
      </w:r>
    </w:p>
    <w:p w:rsidR="00576EA8" w:rsidRPr="00F40A29" w:rsidRDefault="00576EA8" w:rsidP="00576EA8">
      <w:pPr>
        <w:spacing w:before="120" w:line="340" w:lineRule="exact"/>
        <w:jc w:val="both"/>
        <w:rPr>
          <w:sz w:val="28"/>
          <w:szCs w:val="28"/>
          <w:shd w:val="clear" w:color="auto" w:fill="FFFFFF"/>
          <w:lang w:val="es-MX"/>
        </w:rPr>
      </w:pPr>
      <w:r w:rsidRPr="00F40A29">
        <w:rPr>
          <w:rStyle w:val="Emphasis"/>
          <w:bCs/>
          <w:i w:val="0"/>
          <w:sz w:val="28"/>
          <w:szCs w:val="28"/>
          <w:bdr w:val="none" w:sz="0" w:space="0" w:color="auto" w:frame="1"/>
          <w:lang w:val="es-MX"/>
        </w:rPr>
        <w:lastRenderedPageBreak/>
        <w:tab/>
        <w:t>5. Đối tượng thực hiện thủ tục hành chính:</w:t>
      </w:r>
      <w:r w:rsidRPr="00F40A29">
        <w:rPr>
          <w:rStyle w:val="apple-converted-space"/>
          <w:bCs/>
          <w:iCs/>
          <w:sz w:val="28"/>
          <w:szCs w:val="28"/>
          <w:bdr w:val="none" w:sz="0" w:space="0" w:color="auto" w:frame="1"/>
          <w:lang w:val="es-MX"/>
        </w:rPr>
        <w:t> </w:t>
      </w:r>
      <w:r w:rsidRPr="00F40A29">
        <w:rPr>
          <w:sz w:val="28"/>
          <w:szCs w:val="28"/>
          <w:shd w:val="clear" w:color="auto" w:fill="FFFFFF"/>
          <w:lang w:val="es-MX"/>
        </w:rPr>
        <w:t>Tổ chức, cá nhân chuyển nhượng quyền khai thác, sử dụng tài nguyên nước.</w:t>
      </w:r>
    </w:p>
    <w:p w:rsidR="00576EA8" w:rsidRPr="00F40A29" w:rsidRDefault="00576EA8" w:rsidP="00576EA8">
      <w:pPr>
        <w:spacing w:before="120" w:line="340" w:lineRule="exact"/>
        <w:jc w:val="both"/>
        <w:rPr>
          <w:rStyle w:val="apple-converted-space"/>
          <w:bCs/>
          <w:iCs/>
          <w:sz w:val="28"/>
          <w:szCs w:val="28"/>
          <w:bdr w:val="none" w:sz="0" w:space="0" w:color="auto" w:frame="1"/>
          <w:lang w:val="es-MX"/>
        </w:rPr>
      </w:pPr>
      <w:r w:rsidRPr="00F40A29">
        <w:rPr>
          <w:rStyle w:val="Emphasis"/>
          <w:bCs/>
          <w:i w:val="0"/>
          <w:sz w:val="28"/>
          <w:szCs w:val="28"/>
          <w:bdr w:val="none" w:sz="0" w:space="0" w:color="auto" w:frame="1"/>
          <w:lang w:val="es-MX"/>
        </w:rPr>
        <w:tab/>
        <w:t>6. Cơ quan thực hiện thủ tục hành chính:</w:t>
      </w:r>
      <w:r w:rsidRPr="00F40A29">
        <w:rPr>
          <w:rStyle w:val="apple-converted-space"/>
          <w:bCs/>
          <w:iCs/>
          <w:sz w:val="28"/>
          <w:szCs w:val="28"/>
          <w:bdr w:val="none" w:sz="0" w:space="0" w:color="auto" w:frame="1"/>
          <w:lang w:val="es-MX"/>
        </w:rPr>
        <w:t> </w:t>
      </w:r>
    </w:p>
    <w:p w:rsidR="00576EA8" w:rsidRPr="00F40A29" w:rsidRDefault="00576EA8" w:rsidP="00576EA8">
      <w:pPr>
        <w:spacing w:before="120" w:line="340" w:lineRule="exact"/>
        <w:jc w:val="both"/>
        <w:rPr>
          <w:sz w:val="28"/>
          <w:szCs w:val="28"/>
          <w:shd w:val="clear" w:color="auto" w:fill="FFFFFF"/>
          <w:lang w:val="es-MX"/>
        </w:rPr>
      </w:pPr>
      <w:r w:rsidRPr="00F40A29">
        <w:rPr>
          <w:rStyle w:val="Emphasis"/>
          <w:i w:val="0"/>
          <w:sz w:val="28"/>
          <w:szCs w:val="28"/>
          <w:bdr w:val="none" w:sz="0" w:space="0" w:color="auto" w:frame="1"/>
          <w:shd w:val="clear" w:color="auto" w:fill="FFFFFF"/>
          <w:lang w:val="es-MX"/>
        </w:rPr>
        <w:tab/>
        <w:t>- Cơ quan có thẩm quyền quyết định</w:t>
      </w:r>
      <w:r w:rsidRPr="00F40A29">
        <w:rPr>
          <w:sz w:val="28"/>
          <w:szCs w:val="28"/>
          <w:shd w:val="clear" w:color="auto" w:fill="FFFFFF"/>
          <w:lang w:val="es-MX"/>
        </w:rPr>
        <w:t>: Ủy ban nhân dân tỉnh.</w:t>
      </w:r>
    </w:p>
    <w:p w:rsidR="00576EA8" w:rsidRPr="00F40A29" w:rsidRDefault="00576EA8" w:rsidP="00576EA8">
      <w:pPr>
        <w:spacing w:before="120" w:line="340" w:lineRule="exact"/>
        <w:jc w:val="both"/>
        <w:rPr>
          <w:sz w:val="28"/>
          <w:szCs w:val="28"/>
          <w:shd w:val="clear" w:color="auto" w:fill="FFFFFF"/>
          <w:lang w:val="es-MX"/>
        </w:rPr>
      </w:pPr>
      <w:r w:rsidRPr="00F40A29">
        <w:rPr>
          <w:rStyle w:val="Emphasis"/>
          <w:i w:val="0"/>
          <w:sz w:val="28"/>
          <w:szCs w:val="28"/>
          <w:bdr w:val="none" w:sz="0" w:space="0" w:color="auto" w:frame="1"/>
          <w:shd w:val="clear" w:color="auto" w:fill="FFFFFF"/>
          <w:lang w:val="es-MX"/>
        </w:rPr>
        <w:tab/>
        <w:t>- Cơ quan trực tiếp thực hiện</w:t>
      </w:r>
      <w:r w:rsidRPr="00F40A29">
        <w:rPr>
          <w:sz w:val="28"/>
          <w:szCs w:val="28"/>
          <w:shd w:val="clear" w:color="auto" w:fill="FFFFFF"/>
          <w:lang w:val="es-MX"/>
        </w:rPr>
        <w:t>: Sở Tài nguyên và Môi trường.</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7</w:t>
      </w:r>
      <w:r w:rsidRPr="00F40A29">
        <w:rPr>
          <w:rStyle w:val="Strong"/>
          <w:b w:val="0"/>
          <w:sz w:val="28"/>
          <w:szCs w:val="28"/>
          <w:bdr w:val="none" w:sz="0" w:space="0" w:color="auto" w:frame="1"/>
          <w:shd w:val="clear" w:color="auto" w:fill="FFFFFF"/>
          <w:lang w:val="es-MX"/>
        </w:rPr>
        <w:t>. Kết quả thực hiện thủ tục hành chính</w:t>
      </w:r>
      <w:r w:rsidRPr="00F40A29">
        <w:rPr>
          <w:sz w:val="28"/>
          <w:szCs w:val="28"/>
          <w:shd w:val="clear" w:color="auto" w:fill="FFFFFF"/>
          <w:lang w:val="es-MX"/>
        </w:rPr>
        <w:t>: Giấy phép khai thác, sử dụng tài nguyên nước được cấp lại.</w:t>
      </w:r>
    </w:p>
    <w:p w:rsidR="00576EA8" w:rsidRPr="00F40A29" w:rsidRDefault="00576EA8" w:rsidP="00576EA8">
      <w:pPr>
        <w:spacing w:before="120" w:line="340" w:lineRule="exact"/>
        <w:jc w:val="both"/>
        <w:rPr>
          <w:sz w:val="28"/>
          <w:szCs w:val="28"/>
          <w:shd w:val="clear" w:color="auto" w:fill="FFFFFF"/>
          <w:lang w:val="es-MX"/>
        </w:rPr>
      </w:pPr>
      <w:r w:rsidRPr="00F40A29">
        <w:rPr>
          <w:rStyle w:val="Emphasis"/>
          <w:bCs/>
          <w:i w:val="0"/>
          <w:sz w:val="28"/>
          <w:szCs w:val="28"/>
          <w:bdr w:val="none" w:sz="0" w:space="0" w:color="auto" w:frame="1"/>
          <w:lang w:val="es-MX"/>
        </w:rPr>
        <w:tab/>
        <w:t>8. Phí, lệ phí: Chưa quy định</w:t>
      </w:r>
    </w:p>
    <w:p w:rsidR="00576EA8" w:rsidRPr="00F40A29" w:rsidRDefault="00576EA8" w:rsidP="00576EA8">
      <w:pPr>
        <w:spacing w:before="120" w:line="340" w:lineRule="exact"/>
        <w:jc w:val="both"/>
        <w:rPr>
          <w:bCs/>
          <w:iCs/>
          <w:sz w:val="28"/>
          <w:szCs w:val="28"/>
          <w:bdr w:val="none" w:sz="0" w:space="0" w:color="auto" w:frame="1"/>
          <w:lang w:val="es-MX"/>
        </w:rPr>
      </w:pPr>
      <w:r w:rsidRPr="00F40A29">
        <w:rPr>
          <w:rStyle w:val="Emphasis"/>
          <w:bCs/>
          <w:i w:val="0"/>
          <w:sz w:val="28"/>
          <w:szCs w:val="28"/>
          <w:bdr w:val="none" w:sz="0" w:space="0" w:color="auto" w:frame="1"/>
          <w:lang w:val="es-MX"/>
        </w:rPr>
        <w:tab/>
        <w:t>9. Tên mẫu đơn,</w:t>
      </w:r>
      <w:r w:rsidRPr="00F40A29">
        <w:rPr>
          <w:rStyle w:val="apple-converted-space"/>
          <w:bCs/>
          <w:iCs/>
          <w:sz w:val="28"/>
          <w:szCs w:val="28"/>
          <w:bdr w:val="none" w:sz="0" w:space="0" w:color="auto" w:frame="1"/>
          <w:lang w:val="es-MX"/>
        </w:rPr>
        <w:t> </w:t>
      </w:r>
      <w:r w:rsidRPr="00F40A29">
        <w:rPr>
          <w:rStyle w:val="Emphasis"/>
          <w:bCs/>
          <w:i w:val="0"/>
          <w:sz w:val="28"/>
          <w:szCs w:val="28"/>
          <w:bdr w:val="none" w:sz="0" w:space="0" w:color="auto" w:frame="1"/>
          <w:lang w:val="es-MX"/>
        </w:rPr>
        <w:t xml:space="preserve">hợp đồng, báo cáo, giấy phép: </w:t>
      </w:r>
      <w:r w:rsidRPr="00F40A29">
        <w:rPr>
          <w:sz w:val="28"/>
          <w:szCs w:val="28"/>
          <w:shd w:val="clear" w:color="auto" w:fill="FFFFFF"/>
          <w:lang w:val="es-MX"/>
        </w:rPr>
        <w:t>Chưa quy định</w:t>
      </w:r>
    </w:p>
    <w:p w:rsidR="00576EA8" w:rsidRPr="00F40A29" w:rsidRDefault="00576EA8" w:rsidP="00576EA8">
      <w:pPr>
        <w:spacing w:before="120" w:line="340" w:lineRule="exact"/>
        <w:jc w:val="both"/>
        <w:rPr>
          <w:rStyle w:val="Emphasis"/>
          <w:i w:val="0"/>
          <w:sz w:val="28"/>
          <w:szCs w:val="28"/>
          <w:bdr w:val="none" w:sz="0" w:space="0" w:color="auto" w:frame="1"/>
          <w:shd w:val="clear" w:color="auto" w:fill="FFFFFF"/>
          <w:lang w:val="es-MX"/>
        </w:rPr>
      </w:pPr>
      <w:r w:rsidRPr="00F40A29">
        <w:rPr>
          <w:rStyle w:val="Emphasis"/>
          <w:bCs/>
          <w:i w:val="0"/>
          <w:sz w:val="28"/>
          <w:szCs w:val="28"/>
          <w:bdr w:val="none" w:sz="0" w:space="0" w:color="auto" w:frame="1"/>
          <w:lang w:val="es-MX"/>
        </w:rPr>
        <w:tab/>
        <w:t>10. Yêu cầu, điều kiện cấp phép</w:t>
      </w:r>
      <w:r w:rsidRPr="00F40A29">
        <w:rPr>
          <w:rStyle w:val="apple-converted-space"/>
          <w:sz w:val="28"/>
          <w:szCs w:val="28"/>
          <w:shd w:val="clear" w:color="auto" w:fill="FFFFFF"/>
          <w:lang w:val="es-MX"/>
        </w:rPr>
        <w:t> </w:t>
      </w:r>
      <w:r w:rsidRPr="00F40A29">
        <w:rPr>
          <w:rStyle w:val="Emphasis"/>
          <w:i w:val="0"/>
          <w:sz w:val="28"/>
          <w:szCs w:val="28"/>
          <w:bdr w:val="none" w:sz="0" w:space="0" w:color="auto" w:frame="1"/>
          <w:shd w:val="clear" w:color="auto" w:fill="FFFFFF"/>
          <w:lang w:val="es-MX"/>
        </w:rPr>
        <w:t xml:space="preserve">(theo quy định tại Khoản 1, Khoản 2, </w:t>
      </w:r>
      <w:r w:rsidRPr="00F40A29">
        <w:rPr>
          <w:rStyle w:val="Emphasis"/>
          <w:i w:val="0"/>
          <w:spacing w:val="-8"/>
          <w:sz w:val="28"/>
          <w:szCs w:val="28"/>
          <w:bdr w:val="none" w:sz="0" w:space="0" w:color="auto" w:frame="1"/>
          <w:shd w:val="clear" w:color="auto" w:fill="FFFFFF"/>
          <w:lang w:val="es-MX"/>
        </w:rPr>
        <w:t>Điều 39 Nghị định số 201/2013/NĐ-CP ngày 27/11/2013 của Chính phủ):</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Điều kiện của tổ chức, cá nhân chuyển nhượng quyền khai thác tài nguyên nước:</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Tính đến thời điểm chuyển nhượng, tổ chức, cá nhân chuyển nhượng đã hoàn thành công tác xây dựng cơ bản, đưa công trình khai thác vào hoạt động;</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Tính đến thời điểm chuyển nhượng, tổ chức, cá nhân đề nghị chuyển nhượng đã hoàn thành nghĩa vụ về tài chính quy định tại Điểm đ Khoản 2 Điều 43 của Luật tài nguyên nước và đã nộp đủ tiền cấp quyền khai thác tài nguyên nước theo quy định; không có tranh chấp về quyền, nghĩa vụ liên quan đến hoạt động khai thác tài nguyên nước;</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Tổ chức, cá nhân chuyển nhượng đã nộp đủ hồ sơ cho cơ quan tiếp nhận hồ sơ khi giấy phép khai thác, sử dụng tài nguyên nước còn hiệu lực ít nhất là một trăm hai mươi (120) ngày.</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Điều kiện của tổ chức, cá nhân nhận chuyển nhượng quyền khai thác tài nguyên nước:</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Tổ chức, cá nhân nhận chuyển nhượng có đủ điều kiện để được cấp giấy phép theo quy định tại Điều 20 của Nghị định số 201/2013/NĐ-CP ngày 27 tháng 11 năm 2013 của Chính phủ;</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Bảo đảm không làm thay đổi mục đích khai thác, sử dụng nước.</w:t>
      </w:r>
    </w:p>
    <w:p w:rsidR="00576EA8" w:rsidRPr="00F40A29" w:rsidRDefault="00576EA8" w:rsidP="00576EA8">
      <w:pPr>
        <w:spacing w:before="120" w:line="340" w:lineRule="exact"/>
        <w:jc w:val="both"/>
        <w:rPr>
          <w:rStyle w:val="Emphasis"/>
          <w:bCs/>
          <w:i w:val="0"/>
          <w:sz w:val="28"/>
          <w:szCs w:val="28"/>
          <w:bdr w:val="none" w:sz="0" w:space="0" w:color="auto" w:frame="1"/>
          <w:lang w:val="es-MX"/>
        </w:rPr>
      </w:pPr>
      <w:r w:rsidRPr="00F40A29">
        <w:rPr>
          <w:sz w:val="28"/>
          <w:szCs w:val="28"/>
          <w:shd w:val="clear" w:color="auto" w:fill="FFFFFF"/>
          <w:lang w:val="es-MX"/>
        </w:rPr>
        <w:tab/>
      </w:r>
      <w:r w:rsidRPr="00F40A29">
        <w:rPr>
          <w:rStyle w:val="Emphasis"/>
          <w:bCs/>
          <w:i w:val="0"/>
          <w:sz w:val="28"/>
          <w:szCs w:val="28"/>
          <w:bdr w:val="none" w:sz="0" w:space="0" w:color="auto" w:frame="1"/>
          <w:lang w:val="es-MX"/>
        </w:rPr>
        <w:t>11. Căn cứ pháp lý:</w:t>
      </w:r>
    </w:p>
    <w:p w:rsidR="00576EA8" w:rsidRPr="00F40A29" w:rsidRDefault="00576EA8" w:rsidP="00576EA8">
      <w:pPr>
        <w:spacing w:before="120" w:line="340" w:lineRule="exact"/>
        <w:jc w:val="both"/>
        <w:rPr>
          <w:bCs/>
          <w:iCs/>
          <w:sz w:val="28"/>
          <w:szCs w:val="28"/>
          <w:bdr w:val="none" w:sz="0" w:space="0" w:color="auto" w:frame="1"/>
          <w:lang w:val="es-MX"/>
        </w:rPr>
      </w:pPr>
      <w:r w:rsidRPr="00F40A29">
        <w:rPr>
          <w:sz w:val="28"/>
          <w:szCs w:val="28"/>
          <w:shd w:val="clear" w:color="auto" w:fill="FFFFFF"/>
          <w:lang w:val="es-MX"/>
        </w:rPr>
        <w:tab/>
        <w:t>- Luật tài nguyên nước năm 2012.</w:t>
      </w:r>
    </w:p>
    <w:p w:rsidR="00576EA8" w:rsidRPr="00F40A29" w:rsidRDefault="00576EA8" w:rsidP="00576EA8">
      <w:pPr>
        <w:spacing w:before="120" w:line="340" w:lineRule="exact"/>
        <w:jc w:val="both"/>
        <w:rPr>
          <w:sz w:val="28"/>
          <w:szCs w:val="28"/>
          <w:shd w:val="clear" w:color="auto" w:fill="FFFFFF"/>
          <w:lang w:val="es-MX"/>
        </w:rPr>
      </w:pPr>
      <w:r w:rsidRPr="00F40A29">
        <w:rPr>
          <w:sz w:val="28"/>
          <w:szCs w:val="28"/>
          <w:shd w:val="clear" w:color="auto" w:fill="FFFFFF"/>
          <w:lang w:val="es-MX"/>
        </w:rPr>
        <w:tab/>
        <w:t>- Nghị định số 201/2013/NĐ-CP ngày 27 tháng 11 năm 2013 của Chính phủ quy định chi tiết thi hành một số điều của Luật tài nguyên nước.</w:t>
      </w:r>
    </w:p>
    <w:p w:rsidR="00885BCF" w:rsidRPr="00576EA8" w:rsidRDefault="00885BCF" w:rsidP="00576EA8"/>
    <w:sectPr w:rsidR="00885BCF" w:rsidRPr="00576EA8"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AB" w:rsidRDefault="00F668AB" w:rsidP="00AC50BF">
      <w:pPr>
        <w:spacing w:before="0" w:after="0" w:line="240" w:lineRule="auto"/>
      </w:pPr>
      <w:r>
        <w:separator/>
      </w:r>
    </w:p>
  </w:endnote>
  <w:endnote w:type="continuationSeparator" w:id="0">
    <w:p w:rsidR="00F668AB" w:rsidRDefault="00F668AB"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576EA8">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AB" w:rsidRDefault="00F668AB" w:rsidP="00AC50BF">
      <w:pPr>
        <w:spacing w:before="0" w:after="0" w:line="240" w:lineRule="auto"/>
      </w:pPr>
      <w:r>
        <w:separator/>
      </w:r>
    </w:p>
  </w:footnote>
  <w:footnote w:type="continuationSeparator" w:id="0">
    <w:p w:rsidR="00F668AB" w:rsidRDefault="00F668AB"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6C48"/>
    <w:rsid w:val="0019764A"/>
    <w:rsid w:val="001A0EFD"/>
    <w:rsid w:val="001A2A2D"/>
    <w:rsid w:val="001A3C1F"/>
    <w:rsid w:val="001A484E"/>
    <w:rsid w:val="001A5A57"/>
    <w:rsid w:val="001B191B"/>
    <w:rsid w:val="001B1C2C"/>
    <w:rsid w:val="001B2609"/>
    <w:rsid w:val="001B33EE"/>
    <w:rsid w:val="001B4304"/>
    <w:rsid w:val="001B4D53"/>
    <w:rsid w:val="001C142F"/>
    <w:rsid w:val="001C1AE2"/>
    <w:rsid w:val="001C40DE"/>
    <w:rsid w:val="001C533F"/>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9E6"/>
    <w:rsid w:val="00851ABF"/>
    <w:rsid w:val="008550B4"/>
    <w:rsid w:val="008558AA"/>
    <w:rsid w:val="0086609C"/>
    <w:rsid w:val="008714F8"/>
    <w:rsid w:val="00874548"/>
    <w:rsid w:val="00875621"/>
    <w:rsid w:val="00877C47"/>
    <w:rsid w:val="00880CE6"/>
    <w:rsid w:val="0088180E"/>
    <w:rsid w:val="00885BCF"/>
    <w:rsid w:val="00887932"/>
    <w:rsid w:val="008910C9"/>
    <w:rsid w:val="00893128"/>
    <w:rsid w:val="00895506"/>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70A8"/>
    <w:rsid w:val="00B37153"/>
    <w:rsid w:val="00B37B29"/>
    <w:rsid w:val="00B47EEB"/>
    <w:rsid w:val="00B5073A"/>
    <w:rsid w:val="00B52411"/>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668AB"/>
    <w:rsid w:val="00F700EE"/>
    <w:rsid w:val="00F70E54"/>
    <w:rsid w:val="00F728E5"/>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76B6-FB0F-4691-9008-69C2EE0B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2017-07-13T02:49:00Z</dcterms:created>
  <dcterms:modified xsi:type="dcterms:W3CDTF">2017-07-13T02:50:00Z</dcterms:modified>
</cp:coreProperties>
</file>